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Structural Causal Invariance (SCI)</w:t>
      </w:r>
    </w:p>
    <w:p>
      <w:pPr>
        <w:spacing w:after="100"/>
        <w:jc w:val="center"/>
      </w:pPr>
      <w:r>
        <w:rPr>
          <w:i/>
          <w:iCs/>
          <w:color w:val="4a5568"/>
          <w:sz w:val="26"/>
          <w:szCs w:val="26"/>
        </w:rPr>
        <w:t xml:space="preserve">A Novel Representation Paradigm for Compositional Generalization in Large Language Models</w:t>
      </w:r>
    </w:p>
    <w:p>
      <w:pPr>
        <w:spacing w:after="400"/>
        <w:jc w:val="center"/>
      </w:pPr>
      <w:r>
        <w:rPr>
          <w:color w:val="718096"/>
          <w:sz w:val="22"/>
          <w:szCs w:val="22"/>
        </w:rPr>
        <w:t xml:space="preserve">Research Proposal for Nature Machine Intelligence</w:t>
      </w:r>
    </w:p>
    <w:p>
      <w:pPr>
        <w:pStyle w:val="Heading1"/>
      </w:pPr>
      <w:r>
        <w:t xml:space="preserve">Executive Summary</w:t>
      </w:r>
    </w:p>
    <w:p>
      <w:pPr>
        <w:spacing w:after="200"/>
      </w:pPr>
      <w:r>
        <w:t xml:space="preserve">This proposal introduces </w:t>
      </w:r>
      <w:r>
        <w:rPr>
          <w:b/>
          <w:bCs/>
        </w:rPr>
        <w:t xml:space="preserve">Structural Causal Invariance (SCI)</w:t>
      </w:r>
      <w:r>
        <w:t xml:space="preserve">—a fundamentally new representation paradigm that enables large language models to achieve human-like compositional generalization. Unlike existing hybrid approaches that combine known modules (e.g., information bottlenecks, slot attention, relational transformers), SCI introduces a </w:t>
      </w:r>
      <w:r>
        <w:rPr>
          <w:b/>
          <w:bCs/>
        </w:rPr>
        <w:t xml:space="preserve">novel mathematical principle</w:t>
      </w:r>
      <w:r>
        <w:t xml:space="preserve">: learning representations where structural patterns are causally invariant to the specific content that fills them.</w:t>
      </w:r>
    </w:p>
    <w:p>
      <w:pPr>
        <w:spacing w:after="200"/>
      </w:pPr>
      <w:r>
        <w:t xml:space="preserve">The key insight is that humans understand language by separating </w:t>
      </w:r>
      <w:r>
        <w:rPr>
          <w:i/>
          <w:iCs/>
        </w:rPr>
        <w:t xml:space="preserve">structure</w:t>
      </w:r>
      <w:r>
        <w:t xml:space="preserve"> (the compositional rules) from </w:t>
      </w:r>
      <w:r>
        <w:rPr>
          <w:i/>
          <w:iCs/>
        </w:rPr>
        <w:t xml:space="preserve">content</w:t>
      </w:r>
      <w:r>
        <w:t xml:space="preserve"> (the specific entities), and these two aspects interact through a causal mechanism. SCI makes this separation explicit and learnable, enabling systematic generalization to novel combinations.</w:t>
      </w:r>
    </w:p>
    <w:p>
      <w:pPr>
        <w:pStyle w:val="Heading1"/>
      </w:pPr>
      <w:r>
        <w:t xml:space="preserve">The Fundamental Problem: Why Current LLMs Fail</w:t>
      </w:r>
    </w:p>
    <w:p>
      <w:pPr>
        <w:spacing w:after="200"/>
      </w:pPr>
      <w:r>
        <w:t xml:space="preserve">Despite remarkable capabilities, current LLMs consistently fail at compositional generalization—the ability to understand novel combinations of known components. For example, a model trained on "walk twice" → WALK WALK and "jump left" → TURN_LEFT JUMP may fail on "walk twice and jump left" despite knowing all the individual components.</w:t>
      </w:r>
    </w:p>
    <w:p>
      <w:pPr>
        <w:pStyle w:val="Heading2"/>
      </w:pPr>
      <w:r>
        <w:t xml:space="preserve">Root Cause Analysis</w:t>
      </w:r>
    </w:p>
    <w:p>
      <w:pPr>
        <w:spacing w:after="100"/>
      </w:pPr>
      <w:r>
        <w:t xml:space="preserve">Through extensive literature review, I've identified that the root cause is the </w:t>
      </w:r>
      <w:r>
        <w:rPr>
          <w:b/>
          <w:bCs/>
        </w:rPr>
        <w:t xml:space="preserve">binding problem</w:t>
      </w:r>
      <w:r>
        <w:t xml:space="preserve">: neural networks cannot dynamically and flexibly bind distributed information into discrete, reconfigurable units. This manifests in three critical failures:</w:t>
      </w:r>
    </w:p>
    <w:p>
      <w:pPr>
        <w:pStyle w:val="ListParagraph"/>
        <w:numPr>
          <w:ilvl w:val="0"/>
          <w:numId w:val="2"/>
        </w:numPr>
      </w:pPr>
      <w:r>
        <w:rPr>
          <w:b/>
          <w:bCs/>
        </w:rPr>
        <w:t xml:space="preserve">Entangled Representations: </w:t>
      </w:r>
      <w:r>
        <w:t xml:space="preserve">Structural patterns ("X twice") are entangled with specific content ("walk"), preventing reuse with novel content.</w:t>
      </w:r>
    </w:p>
    <w:p>
      <w:pPr>
        <w:pStyle w:val="ListParagraph"/>
        <w:numPr>
          <w:ilvl w:val="0"/>
          <w:numId w:val="2"/>
        </w:numPr>
      </w:pPr>
      <w:r>
        <w:rPr>
          <w:b/>
          <w:bCs/>
        </w:rPr>
        <w:t xml:space="preserve">Pattern Memorization: </w:t>
      </w:r>
      <w:r>
        <w:t xml:space="preserve">Models memorize surface co-occurrences rather than learning abstract compositional rules.</w:t>
      </w:r>
    </w:p>
    <w:p>
      <w:pPr>
        <w:pStyle w:val="ListParagraph"/>
        <w:numPr>
          <w:ilvl w:val="0"/>
          <w:numId w:val="2"/>
        </w:numPr>
        <w:spacing w:after="200"/>
      </w:pPr>
      <w:r>
        <w:rPr>
          <w:b/>
          <w:bCs/>
        </w:rPr>
        <w:t xml:space="preserve">No Causal Understanding: </w:t>
      </w:r>
      <w:r>
        <w:t xml:space="preserve">Models don't represent HOW structures generate outputs—only statistical associations between inputs and outputs.</w:t>
      </w:r>
    </w:p>
    <w:p>
      <w:pPr>
        <w:pStyle w:val="Heading2"/>
      </w:pPr>
      <w:r>
        <w:t xml:space="preserve">Why Existing Approaches Are Insufficient</w:t>
      </w:r>
    </w:p>
    <w:p>
      <w:pPr>
        <w:spacing w:after="200"/>
      </w:pPr>
      <w:r>
        <w:t xml:space="preserve">Current approaches (including the NeuroGen architecture) attempt to address this through </w:t>
      </w:r>
      <w:r>
        <w:rPr>
          <w:i/>
          <w:iCs/>
        </w:rPr>
        <w:t xml:space="preserve">combinations of existing modules</w:t>
      </w:r>
      <w:r>
        <w:t xml:space="preserve">: information bottlenecks, slot attention, relational cross-attention. While these improve performance, they don't address the fundamental issue because they still represent structure and content in the same vector space, just with additional constraints.</w:t>
      </w:r>
    </w:p>
    <w:p>
      <w:pPr>
        <w:pStyle w:val="Heading1"/>
      </w:pPr>
      <w:r>
        <w:t xml:space="preserve">The Novel Solution: Structural Causal Invariance</w:t>
      </w:r>
    </w:p>
    <w:p>
      <w:pPr>
        <w:pStyle w:val="Heading2"/>
      </w:pPr>
      <w:r>
        <w:t xml:space="preserve">Core Principle</w:t>
      </w:r>
    </w:p>
    <w:p>
      <w:pPr>
        <w:spacing w:after="200"/>
      </w:pPr>
      <w:r>
        <w:t xml:space="preserve">SCI introduces a new mathematical principle: </w:t>
      </w:r>
      <w:r>
        <w:rPr>
          <w:b/>
          <w:bCs/>
        </w:rPr>
        <w:t xml:space="preserve">structural representations should be causally invariant to content substitution</w:t>
      </w:r>
      <w:r>
        <w:t xml:space="preserve">. This means that replacing any content element with another (e.g., "walk" with "run") should leave the structural representation UNCHANGED while the content representation updates accordingly.</w:t>
      </w:r>
    </w:p>
    <w:p>
      <w:pPr>
        <w:pStyle w:val="Heading3"/>
      </w:pPr>
      <w:r>
        <w:t xml:space="preserve">Mathematical Formulation</w:t>
      </w:r>
    </w:p>
    <w:p>
      <w:pPr>
        <w:spacing w:after="100"/>
      </w:pPr>
      <w:r>
        <w:t xml:space="preserve">Given an input sequence x, SCI factorizes the representation into:</w:t>
      </w:r>
    </w:p>
    <w:p>
      <w:pPr>
        <w:pStyle w:val="ListParagraph"/>
        <w:numPr>
          <w:ilvl w:val="0"/>
          <w:numId w:val="3"/>
        </w:numPr>
      </w:pPr>
      <w:r>
        <w:rPr>
          <w:b/>
          <w:bCs/>
        </w:rPr>
        <w:t xml:space="preserve">S(x)</w:t>
      </w:r>
      <w:r>
        <w:t xml:space="preserve"> — Structural representation (a causal graph over abstract slots)</w:t>
      </w:r>
    </w:p>
    <w:p>
      <w:pPr>
        <w:pStyle w:val="ListParagraph"/>
        <w:numPr>
          <w:ilvl w:val="0"/>
          <w:numId w:val="3"/>
        </w:numPr>
      </w:pPr>
      <w:r>
        <w:rPr>
          <w:b/>
          <w:bCs/>
        </w:rPr>
        <w:t xml:space="preserve">C(x)</w:t>
      </w:r>
      <w:r>
        <w:t xml:space="preserve"> — Content representation (embeddings of specific entities)</w:t>
      </w:r>
    </w:p>
    <w:p>
      <w:pPr>
        <w:pStyle w:val="ListParagraph"/>
        <w:numPr>
          <w:ilvl w:val="0"/>
          <w:numId w:val="3"/>
        </w:numPr>
        <w:spacing w:after="100"/>
      </w:pPr>
      <w:r>
        <w:rPr>
          <w:b/>
          <w:bCs/>
        </w:rPr>
        <w:t xml:space="preserve">B(S, C)</w:t>
      </w:r>
      <w:r>
        <w:t xml:space="preserve"> — Binding function (how content fills structural slots)</w:t>
      </w:r>
    </w:p>
    <w:p>
      <w:pPr>
        <w:spacing w:after="200"/>
      </w:pPr>
      <w:r>
        <w:t xml:space="preserve">The key innovation is the </w:t>
      </w:r>
      <w:r>
        <w:rPr>
          <w:b/>
          <w:bCs/>
        </w:rPr>
        <w:t xml:space="preserve">Structural Invariance Constraint</w:t>
      </w:r>
      <w:r>
        <w:t xml:space="preserve">: For any two inputs x₁ and x₂ with the same structure but different content, S(x₁) = S(x₂). This is enforced through a novel contrastive learning objective.</w:t>
      </w:r>
    </w:p>
    <w:p>
      <w:pPr>
        <w:pStyle w:val="Heading2"/>
      </w:pPr>
      <w:r>
        <w:t xml:space="preserve">Why This Is Truly Novel</w:t>
      </w:r>
    </w:p>
    <w:p>
      <w:pPr>
        <w:spacing w:after="100"/>
      </w:pPr>
      <w:r>
        <w:t xml:space="preserve">SCI differs fundamentally from existing approaches: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Aspect</w:t>
            </w:r>
          </w:p>
        </w:tc>
        <w:tc>
          <w:tcPr>
            <w:tcW w:type="dxa" w:w="328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Existing Approaches</w:t>
            </w:r>
          </w:p>
        </w:tc>
        <w:tc>
          <w:tcPr>
            <w:tcW w:type="dxa" w:w="328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SCI (Novel)</w:t>
            </w:r>
          </w:p>
        </w:tc>
      </w:tr>
      <w:tr>
        <w:tc>
          <w:tcPr>
            <w:tcW w:type="dxa" w:w="2800"/>
            <w:tcBorders>
              <w:top w:val="single" w:color="CCCCCC" w:sz="1"/>
              <w:left w:val="single" w:color="CCCCCC" w:sz="1"/>
              <w:bottom w:val="single" w:color="CCCCCC" w:sz="1"/>
              <w:right w:val="single" w:color="CCCCCC" w:sz="1"/>
            </w:tcBorders>
          </w:tcPr>
          <w:p>
            <w:r>
              <w:rPr>
                <w:b/>
                <w:bCs/>
              </w:rPr>
              <w:t xml:space="preserve">Novelty Type</w:t>
            </w:r>
          </w:p>
        </w:tc>
        <w:tc>
          <w:tcPr>
            <w:tcW w:type="dxa" w:w="3280"/>
            <w:tcBorders>
              <w:top w:val="single" w:color="CCCCCC" w:sz="1"/>
              <w:left w:val="single" w:color="CCCCCC" w:sz="1"/>
              <w:bottom w:val="single" w:color="CCCCCC" w:sz="1"/>
              <w:right w:val="single" w:color="CCCCCC" w:sz="1"/>
            </w:tcBorders>
          </w:tcPr>
          <w:p>
            <w:r>
              <w:t xml:space="preserve">Combination of known modules</w:t>
            </w:r>
          </w:p>
        </w:tc>
        <w:tc>
          <w:tcPr>
            <w:tcW w:type="dxa" w:w="3280"/>
            <w:tcBorders>
              <w:top w:val="single" w:color="CCCCCC" w:sz="1"/>
              <w:left w:val="single" w:color="CCCCCC" w:sz="1"/>
              <w:bottom w:val="single" w:color="CCCCCC" w:sz="1"/>
              <w:right w:val="single" w:color="CCCCCC" w:sz="1"/>
            </w:tcBorders>
            <w:shd w:fill="e6ffed" w:val="clear"/>
          </w:tcPr>
          <w:p>
            <w:r>
              <w:t xml:space="preserve">New mathematical principle</w:t>
            </w:r>
          </w:p>
        </w:tc>
      </w:tr>
      <w:tr>
        <w:tc>
          <w:tcPr>
            <w:tcW w:type="dxa" w:w="2800"/>
            <w:tcBorders>
              <w:top w:val="single" w:color="CCCCCC" w:sz="1"/>
              <w:left w:val="single" w:color="CCCCCC" w:sz="1"/>
              <w:bottom w:val="single" w:color="CCCCCC" w:sz="1"/>
              <w:right w:val="single" w:color="CCCCCC" w:sz="1"/>
            </w:tcBorders>
          </w:tcPr>
          <w:p>
            <w:r>
              <w:rPr>
                <w:b/>
                <w:bCs/>
              </w:rPr>
              <w:t xml:space="preserve">Representation</w:t>
            </w:r>
          </w:p>
        </w:tc>
        <w:tc>
          <w:tcPr>
            <w:tcW w:type="dxa" w:w="3280"/>
            <w:tcBorders>
              <w:top w:val="single" w:color="CCCCCC" w:sz="1"/>
              <w:left w:val="single" w:color="CCCCCC" w:sz="1"/>
              <w:bottom w:val="single" w:color="CCCCCC" w:sz="1"/>
              <w:right w:val="single" w:color="CCCCCC" w:sz="1"/>
            </w:tcBorders>
          </w:tcPr>
          <w:p>
            <w:r>
              <w:t xml:space="preserve">Single entangled space</w:t>
            </w:r>
          </w:p>
        </w:tc>
        <w:tc>
          <w:tcPr>
            <w:tcW w:type="dxa" w:w="3280"/>
            <w:tcBorders>
              <w:top w:val="single" w:color="CCCCCC" w:sz="1"/>
              <w:left w:val="single" w:color="CCCCCC" w:sz="1"/>
              <w:bottom w:val="single" w:color="CCCCCC" w:sz="1"/>
              <w:right w:val="single" w:color="CCCCCC" w:sz="1"/>
            </w:tcBorders>
            <w:shd w:fill="e6ffed" w:val="clear"/>
          </w:tcPr>
          <w:p>
            <w:r>
              <w:t xml:space="preserve">Factorized: structure + content</w:t>
            </w:r>
          </w:p>
        </w:tc>
      </w:tr>
      <w:tr>
        <w:tc>
          <w:tcPr>
            <w:tcW w:type="dxa" w:w="2800"/>
            <w:tcBorders>
              <w:top w:val="single" w:color="CCCCCC" w:sz="1"/>
              <w:left w:val="single" w:color="CCCCCC" w:sz="1"/>
              <w:bottom w:val="single" w:color="CCCCCC" w:sz="1"/>
              <w:right w:val="single" w:color="CCCCCC" w:sz="1"/>
            </w:tcBorders>
          </w:tcPr>
          <w:p>
            <w:r>
              <w:rPr>
                <w:b/>
                <w:bCs/>
              </w:rPr>
              <w:t xml:space="preserve">Training Objective</w:t>
            </w:r>
          </w:p>
        </w:tc>
        <w:tc>
          <w:tcPr>
            <w:tcW w:type="dxa" w:w="3280"/>
            <w:tcBorders>
              <w:top w:val="single" w:color="CCCCCC" w:sz="1"/>
              <w:left w:val="single" w:color="CCCCCC" w:sz="1"/>
              <w:bottom w:val="single" w:color="CCCCCC" w:sz="1"/>
              <w:right w:val="single" w:color="CCCCCC" w:sz="1"/>
            </w:tcBorders>
          </w:tcPr>
          <w:p>
            <w:r>
              <w:t xml:space="preserve">Standard LM loss + regularization</w:t>
            </w:r>
          </w:p>
        </w:tc>
        <w:tc>
          <w:tcPr>
            <w:tcW w:type="dxa" w:w="3280"/>
            <w:tcBorders>
              <w:top w:val="single" w:color="CCCCCC" w:sz="1"/>
              <w:left w:val="single" w:color="CCCCCC" w:sz="1"/>
              <w:bottom w:val="single" w:color="CCCCCC" w:sz="1"/>
              <w:right w:val="single" w:color="CCCCCC" w:sz="1"/>
            </w:tcBorders>
            <w:shd w:fill="e6ffed" w:val="clear"/>
          </w:tcPr>
          <w:p>
            <w:r>
              <w:t xml:space="preserve">Novel contrastive invariance loss</w:t>
            </w:r>
          </w:p>
        </w:tc>
      </w:tr>
      <w:tr>
        <w:tc>
          <w:tcPr>
            <w:tcW w:type="dxa" w:w="2800"/>
            <w:tcBorders>
              <w:top w:val="single" w:color="CCCCCC" w:sz="1"/>
              <w:left w:val="single" w:color="CCCCCC" w:sz="1"/>
              <w:bottom w:val="single" w:color="CCCCCC" w:sz="1"/>
              <w:right w:val="single" w:color="CCCCCC" w:sz="1"/>
            </w:tcBorders>
          </w:tcPr>
          <w:p>
            <w:r>
              <w:rPr>
                <w:b/>
                <w:bCs/>
              </w:rPr>
              <w:t xml:space="preserve">Generalization</w:t>
            </w:r>
          </w:p>
        </w:tc>
        <w:tc>
          <w:tcPr>
            <w:tcW w:type="dxa" w:w="3280"/>
            <w:tcBorders>
              <w:top w:val="single" w:color="CCCCCC" w:sz="1"/>
              <w:left w:val="single" w:color="CCCCCC" w:sz="1"/>
              <w:bottom w:val="single" w:color="CCCCCC" w:sz="1"/>
              <w:right w:val="single" w:color="CCCCCC" w:sz="1"/>
            </w:tcBorders>
          </w:tcPr>
          <w:p>
            <w:r>
              <w:t xml:space="preserve">Improved but not systematic</w:t>
            </w:r>
          </w:p>
        </w:tc>
        <w:tc>
          <w:tcPr>
            <w:tcW w:type="dxa" w:w="3280"/>
            <w:tcBorders>
              <w:top w:val="single" w:color="CCCCCC" w:sz="1"/>
              <w:left w:val="single" w:color="CCCCCC" w:sz="1"/>
              <w:bottom w:val="single" w:color="CCCCCC" w:sz="1"/>
              <w:right w:val="single" w:color="CCCCCC" w:sz="1"/>
            </w:tcBorders>
            <w:shd w:fill="e6ffed" w:val="clear"/>
          </w:tcPr>
          <w:p>
            <w:r>
              <w:t xml:space="preserve">Systematic by construction</w:t>
            </w:r>
          </w:p>
        </w:tc>
      </w:tr>
      <w:tr>
        <w:tc>
          <w:tcPr>
            <w:tcW w:type="dxa" w:w="2800"/>
            <w:tcBorders>
              <w:top w:val="single" w:color="CCCCCC" w:sz="1"/>
              <w:left w:val="single" w:color="CCCCCC" w:sz="1"/>
              <w:bottom w:val="single" w:color="CCCCCC" w:sz="1"/>
              <w:right w:val="single" w:color="CCCCCC" w:sz="1"/>
            </w:tcBorders>
          </w:tcPr>
          <w:p>
            <w:r>
              <w:rPr>
                <w:b/>
                <w:bCs/>
              </w:rPr>
              <w:t xml:space="preserve">Cognitive Grounding</w:t>
            </w:r>
          </w:p>
        </w:tc>
        <w:tc>
          <w:tcPr>
            <w:tcW w:type="dxa" w:w="3280"/>
            <w:tcBorders>
              <w:top w:val="single" w:color="CCCCCC" w:sz="1"/>
              <w:left w:val="single" w:color="CCCCCC" w:sz="1"/>
              <w:bottom w:val="single" w:color="CCCCCC" w:sz="1"/>
              <w:right w:val="single" w:color="CCCCCC" w:sz="1"/>
            </w:tcBorders>
          </w:tcPr>
          <w:p>
            <w:r>
              <w:t xml:space="preserve">Inspired by cognitive theories</w:t>
            </w:r>
          </w:p>
        </w:tc>
        <w:tc>
          <w:tcPr>
            <w:tcW w:type="dxa" w:w="3280"/>
            <w:tcBorders>
              <w:top w:val="single" w:color="CCCCCC" w:sz="1"/>
              <w:left w:val="single" w:color="CCCCCC" w:sz="1"/>
              <w:bottom w:val="single" w:color="CCCCCC" w:sz="1"/>
              <w:right w:val="single" w:color="CCCCCC" w:sz="1"/>
            </w:tcBorders>
            <w:shd w:fill="e6ffed" w:val="clear"/>
          </w:tcPr>
          <w:p>
            <w:r>
              <w:t xml:space="preserve">Directly implements ICM principle</w:t>
            </w:r>
          </w:p>
        </w:tc>
      </w:tr>
    </w:tbl>
    <w:p>
      <w:pPr>
        <w:spacing w:before="300"/>
      </w:pPr>
    </w:p>
    <w:p>
      <w:pPr>
        <w:pStyle w:val="Heading1"/>
      </w:pPr>
      <w:r>
        <w:t xml:space="preserve">The SCI Architecture</w:t>
      </w:r>
    </w:p>
    <w:p>
      <w:pPr>
        <w:pStyle w:val="Heading2"/>
      </w:pPr>
      <w:r>
        <w:t xml:space="preserve">Component 1: Structural Encoder (SE)</w:t>
      </w:r>
    </w:p>
    <w:p>
      <w:pPr>
        <w:spacing w:after="200"/>
      </w:pPr>
      <w:r>
        <w:t xml:space="preserve">The Structural Encoder learns to extract a causal graph S from input x. Unlike slot attention or relational attention (which operate on fixed slots), SE learns a </w:t>
      </w:r>
      <w:r>
        <w:rPr>
          <w:b/>
          <w:bCs/>
        </w:rPr>
        <w:t xml:space="preserve">dynamic structural graph</w:t>
      </w:r>
      <w:r>
        <w:t xml:space="preserve"> where nodes represent abstract roles (not specific entities) and edges represent compositional relationships.</w:t>
      </w:r>
    </w:p>
    <w:p>
      <w:pPr>
        <w:spacing w:after="100"/>
      </w:pPr>
      <w:r>
        <w:rPr>
          <w:b/>
          <w:bCs/>
        </w:rPr>
        <w:t xml:space="preserve">Key Innovation: </w:t>
      </w:r>
      <w:r>
        <w:t xml:space="preserve">SE uses a novel "Structural Abstraction" mechanism that learns to identify WHICH aspects of the input are structural vs. content-specific, without requiring explicit labels.</w:t>
      </w:r>
    </w:p>
    <w:p>
      <w:pPr>
        <w:spacing w:after="200"/>
      </w:pPr>
      <w:r>
        <w:rPr>
          <w:b/>
          <w:bCs/>
        </w:rPr>
        <w:t xml:space="preserve">Implementation: </w:t>
      </w:r>
      <w:r>
        <w:t xml:space="preserve">A graph neural network that operates on abstract "structure tokens" which learn to attend only to structural cues (word order, function words, syntactic markers) while ignoring content words.</w:t>
      </w:r>
    </w:p>
    <w:p>
      <w:pPr>
        <w:pStyle w:val="Heading2"/>
      </w:pPr>
      <w:r>
        <w:t xml:space="preserve">Component 2: Content Encoder (CE)</w:t>
      </w:r>
    </w:p>
    <w:p>
      <w:pPr>
        <w:spacing w:after="200"/>
      </w:pPr>
      <w:r>
        <w:t xml:space="preserve">The Content Encoder learns embeddings for specific entities that can fill any structural slot. These embeddings are designed to be </w:t>
      </w:r>
      <w:r>
        <w:rPr>
          <w:b/>
          <w:bCs/>
        </w:rPr>
        <w:t xml:space="preserve">role-agnostic</w:t>
      </w:r>
      <w:r>
        <w:t xml:space="preserve">—the same entity has the same embedding regardless of its role in the structure.</w:t>
      </w:r>
    </w:p>
    <w:p>
      <w:pPr>
        <w:spacing w:after="200"/>
      </w:pPr>
      <w:r>
        <w:rPr>
          <w:b/>
          <w:bCs/>
        </w:rPr>
        <w:t xml:space="preserve">Key Innovation: </w:t>
      </w:r>
      <w:r>
        <w:t xml:space="preserve">Content embeddings are regularized to be orthogonal to structural embeddings, enforcing explicit separation.</w:t>
      </w:r>
    </w:p>
    <w:p>
      <w:pPr>
        <w:pStyle w:val="Heading2"/>
      </w:pPr>
      <w:r>
        <w:t xml:space="preserve">Component 3: Causal Binding Mechanism (CBM)</w:t>
      </w:r>
    </w:p>
    <w:p>
      <w:pPr>
        <w:spacing w:after="200"/>
      </w:pPr>
      <w:r>
        <w:t xml:space="preserve">The Causal Binding Mechanism implements HOW content fills structural slots. Unlike simple concatenation or attention, CBM uses a </w:t>
      </w:r>
      <w:r>
        <w:rPr>
          <w:b/>
          <w:bCs/>
        </w:rPr>
        <w:t xml:space="preserve">learned causal intervention</w:t>
      </w:r>
      <w:r>
        <w:t xml:space="preserve"> mechanism inspired by do-calculus from causal inference.</w:t>
      </w:r>
    </w:p>
    <w:p>
      <w:pPr>
        <w:spacing w:after="100"/>
      </w:pPr>
      <w:r>
        <w:rPr>
          <w:b/>
          <w:bCs/>
        </w:rPr>
        <w:t xml:space="preserve">Key Innovation: </w:t>
      </w:r>
      <w:r>
        <w:t xml:space="preserve">CBM can perform "counterfactual composition"—given a structure S and new content C', it can generate outputs for combinations never seen during training.</w:t>
      </w:r>
    </w:p>
    <w:p>
      <w:pPr>
        <w:pStyle w:val="Heading2"/>
      </w:pPr>
      <w:r>
        <w:t xml:space="preserve">Component 4: Structural Contrastive Learning (SCL)</w:t>
      </w:r>
    </w:p>
    <w:p>
      <w:pPr>
        <w:spacing w:after="200"/>
      </w:pPr>
      <w:r>
        <w:t xml:space="preserve">The most novel component is the training objective. SCL enforces structural invariance through contrastive learning:</w:t>
      </w:r>
    </w:p>
    <w:p>
      <w:pPr>
        <w:pStyle w:val="ListParagraph"/>
        <w:numPr>
          <w:ilvl w:val="0"/>
          <w:numId w:val="4"/>
        </w:numPr>
      </w:pPr>
      <w:r>
        <w:rPr>
          <w:b/>
          <w:bCs/>
        </w:rPr>
        <w:t xml:space="preserve">Positive pairs: </w:t>
      </w:r>
      <w:r>
        <w:t xml:space="preserve">Inputs with SAME structure, DIFFERENT content (e.g., "walk twice" and "run twice")</w:t>
      </w:r>
    </w:p>
    <w:p>
      <w:pPr>
        <w:pStyle w:val="ListParagraph"/>
        <w:numPr>
          <w:ilvl w:val="0"/>
          <w:numId w:val="4"/>
        </w:numPr>
      </w:pPr>
      <w:r>
        <w:rPr>
          <w:b/>
          <w:bCs/>
        </w:rPr>
        <w:t xml:space="preserve">Negative pairs: </w:t>
      </w:r>
      <w:r>
        <w:t xml:space="preserve">Inputs with DIFFERENT structure (e.g., "walk twice" and "walk left")</w:t>
      </w:r>
    </w:p>
    <w:p>
      <w:pPr>
        <w:pStyle w:val="ListParagraph"/>
        <w:numPr>
          <w:ilvl w:val="0"/>
          <w:numId w:val="4"/>
        </w:numPr>
        <w:spacing w:after="200"/>
      </w:pPr>
      <w:r>
        <w:rPr>
          <w:b/>
          <w:bCs/>
        </w:rPr>
        <w:t xml:space="preserve">Training signal: </w:t>
      </w:r>
      <w:r>
        <w:t xml:space="preserve">Maximize similarity of structural representations for positive pairs, minimize for negative pairs</w:t>
      </w:r>
    </w:p>
    <w:p>
      <w:pPr>
        <w:pStyle w:val="Heading1"/>
      </w:pPr>
      <w:r>
        <w:t xml:space="preserve">Theoretical Foundation</w:t>
      </w:r>
    </w:p>
    <w:p>
      <w:pPr>
        <w:pStyle w:val="Heading2"/>
      </w:pPr>
      <w:r>
        <w:t xml:space="preserve">Connection to Independent Causal Mechanisms (ICM)</w:t>
      </w:r>
    </w:p>
    <w:p>
      <w:pPr>
        <w:spacing w:after="200"/>
      </w:pPr>
      <w:r>
        <w:t xml:space="preserve">SCI is grounded in the </w:t>
      </w:r>
      <w:r>
        <w:rPr>
          <w:b/>
          <w:bCs/>
        </w:rPr>
        <w:t xml:space="preserve">Independent Causal Mechanisms (ICM) principle</w:t>
      </w:r>
      <w:r>
        <w:t xml:space="preserve"> from causal inference, which states that the mechanisms generating different aspects of data should be independent and modular. In language:</w:t>
      </w:r>
    </w:p>
    <w:p>
      <w:pPr>
        <w:pStyle w:val="ListParagraph"/>
        <w:numPr>
          <w:ilvl w:val="0"/>
          <w:numId w:val="3"/>
        </w:numPr>
      </w:pPr>
      <w:r>
        <w:t xml:space="preserve">The mechanism for "twice" (repetition) is independent of what is being repeated</w:t>
      </w:r>
    </w:p>
    <w:p>
      <w:pPr>
        <w:pStyle w:val="ListParagraph"/>
        <w:numPr>
          <w:ilvl w:val="0"/>
          <w:numId w:val="3"/>
        </w:numPr>
      </w:pPr>
      <w:r>
        <w:t xml:space="preserve">The mechanism for "left" (direction) is independent of what is moving</w:t>
      </w:r>
    </w:p>
    <w:p>
      <w:pPr>
        <w:pStyle w:val="ListParagraph"/>
        <w:numPr>
          <w:ilvl w:val="0"/>
          <w:numId w:val="3"/>
        </w:numPr>
        <w:spacing w:after="200"/>
      </w:pPr>
      <w:r>
        <w:t xml:space="preserve">These mechanisms can be composed to form complex behaviors</w:t>
      </w:r>
    </w:p>
    <w:p>
      <w:pPr>
        <w:pStyle w:val="Heading2"/>
      </w:pPr>
      <w:r>
        <w:t xml:space="preserve">Connection to Construction Grammar</w:t>
      </w:r>
    </w:p>
    <w:p>
      <w:pPr>
        <w:spacing w:after="200"/>
      </w:pPr>
      <w:r>
        <w:t xml:space="preserve">From cognitive linguistics, </w:t>
      </w:r>
      <w:r>
        <w:rPr>
          <w:b/>
          <w:bCs/>
        </w:rPr>
        <w:t xml:space="preserve">Construction Grammar</w:t>
      </w:r>
      <w:r>
        <w:t xml:space="preserve"> posits that language knowledge consists of form-meaning pairings (constructions) at all levels of abstraction. SCI operationalizes this by learning:</w:t>
      </w:r>
    </w:p>
    <w:p>
      <w:pPr>
        <w:pStyle w:val="ListParagraph"/>
        <w:numPr>
          <w:ilvl w:val="0"/>
          <w:numId w:val="3"/>
        </w:numPr>
      </w:pPr>
      <w:r>
        <w:rPr>
          <w:b/>
          <w:bCs/>
        </w:rPr>
        <w:t xml:space="preserve">Structural representations </w:t>
      </w:r>
      <w:r>
        <w:t xml:space="preserve">= abstract constructions (form)</w:t>
      </w:r>
    </w:p>
    <w:p>
      <w:pPr>
        <w:pStyle w:val="ListParagraph"/>
        <w:numPr>
          <w:ilvl w:val="0"/>
          <w:numId w:val="3"/>
        </w:numPr>
      </w:pPr>
      <w:r>
        <w:rPr>
          <w:b/>
          <w:bCs/>
        </w:rPr>
        <w:t xml:space="preserve">Content representations </w:t>
      </w:r>
      <w:r>
        <w:t xml:space="preserve">= lexical fillers</w:t>
      </w:r>
    </w:p>
    <w:p>
      <w:pPr>
        <w:pStyle w:val="ListParagraph"/>
        <w:numPr>
          <w:ilvl w:val="0"/>
          <w:numId w:val="3"/>
        </w:numPr>
        <w:spacing w:after="200"/>
      </w:pPr>
      <w:r>
        <w:rPr>
          <w:b/>
          <w:bCs/>
        </w:rPr>
        <w:t xml:space="preserve">Binding mechanism </w:t>
      </w:r>
      <w:r>
        <w:t xml:space="preserve">= construction instantiation (meaning)</w:t>
      </w:r>
    </w:p>
    <w:p>
      <w:pPr>
        <w:pStyle w:val="Heading2"/>
      </w:pPr>
      <w:r>
        <w:t xml:space="preserve">Identifiability Theorem</w:t>
      </w:r>
    </w:p>
    <w:p>
      <w:pPr>
        <w:spacing w:after="200"/>
      </w:pPr>
      <w:r>
        <w:t xml:space="preserve">We can prove that under mild assumptions, the structural and content representations learned by SCI are </w:t>
      </w:r>
      <w:r>
        <w:rPr>
          <w:b/>
          <w:bCs/>
        </w:rPr>
        <w:t xml:space="preserve">identifiable up to permutation and elementwise transformation</w:t>
      </w:r>
      <w:r>
        <w:t xml:space="preserve">. This provides theoretical guarantees that the model learns meaningful factorizations, not arbitrary ones.</w:t>
      </w:r>
    </w:p>
    <w:p>
      <w:pPr>
        <w:pStyle w:val="Heading1"/>
      </w:pPr>
      <w:r>
        <w:t xml:space="preserve">Practical Implementation</w:t>
      </w:r>
    </w:p>
    <w:p>
      <w:pPr>
        <w:pStyle w:val="Heading2"/>
      </w:pPr>
      <w:r>
        <w:t xml:space="preserve">Integration with Existing LLMs</w:t>
      </w:r>
    </w:p>
    <w:p>
      <w:pPr>
        <w:spacing w:after="200"/>
      </w:pPr>
      <w:r>
        <w:t xml:space="preserve">SCI can be integrated into existing transformer architectures through a modular design:</w:t>
      </w:r>
    </w:p>
    <w:p>
      <w:pPr>
        <w:pStyle w:val="ListParagraph"/>
        <w:numPr>
          <w:ilvl w:val="0"/>
          <w:numId w:val="5"/>
        </w:numPr>
      </w:pPr>
      <w:r>
        <w:rPr>
          <w:b/>
          <w:bCs/>
        </w:rPr>
        <w:t xml:space="preserve">Add SE and CE as parallel encoders </w:t>
      </w:r>
      <w:r>
        <w:t xml:space="preserve">that process the input alongside the standard transformer layers</w:t>
      </w:r>
    </w:p>
    <w:p>
      <w:pPr>
        <w:pStyle w:val="ListParagraph"/>
        <w:numPr>
          <w:ilvl w:val="0"/>
          <w:numId w:val="5"/>
        </w:numPr>
      </w:pPr>
      <w:r>
        <w:rPr>
          <w:b/>
          <w:bCs/>
        </w:rPr>
        <w:t xml:space="preserve">Inject CBM at specific layers </w:t>
      </w:r>
      <w:r>
        <w:t xml:space="preserve">(similar to adapter placement) to condition generation on factorized representations</w:t>
      </w:r>
    </w:p>
    <w:p>
      <w:pPr>
        <w:pStyle w:val="ListParagraph"/>
        <w:numPr>
          <w:ilvl w:val="0"/>
          <w:numId w:val="5"/>
        </w:numPr>
      </w:pPr>
      <w:r>
        <w:rPr>
          <w:b/>
          <w:bCs/>
        </w:rPr>
        <w:t xml:space="preserve">Add SCL as an auxiliary loss </w:t>
      </w:r>
      <w:r>
        <w:t xml:space="preserve">during training (requires generating positive/negative pairs from training data)</w:t>
      </w:r>
    </w:p>
    <w:p>
      <w:pPr>
        <w:pStyle w:val="ListParagraph"/>
        <w:numPr>
          <w:ilvl w:val="0"/>
          <w:numId w:val="5"/>
        </w:numPr>
        <w:spacing w:after="200"/>
      </w:pPr>
      <w:r>
        <w:rPr>
          <w:b/>
          <w:bCs/>
        </w:rPr>
        <w:t xml:space="preserve">Fine-tune or train from scratch </w:t>
      </w:r>
      <w:r>
        <w:t xml:space="preserve">depending on computational budget</w:t>
      </w:r>
    </w:p>
    <w:p>
      <w:pPr>
        <w:pStyle w:val="Heading2"/>
      </w:pPr>
      <w:r>
        <w:t xml:space="preserve">Generating Training Pairs</w:t>
      </w:r>
    </w:p>
    <w:p>
      <w:pPr>
        <w:spacing w:after="200"/>
      </w:pPr>
      <w:r>
        <w:t xml:space="preserve">A key practical challenge is generating positive/negative pairs for SCL. We propose </w:t>
      </w:r>
      <w:r>
        <w:rPr>
          <w:b/>
          <w:bCs/>
        </w:rPr>
        <w:t xml:space="preserve">Automated Structural Pairing (ASP)</w:t>
      </w:r>
      <w:r>
        <w:t xml:space="preserve">:</w:t>
      </w:r>
    </w:p>
    <w:p>
      <w:pPr>
        <w:pStyle w:val="ListParagraph"/>
        <w:numPr>
          <w:ilvl w:val="0"/>
          <w:numId w:val="3"/>
        </w:numPr>
      </w:pPr>
      <w:r>
        <w:rPr>
          <w:b/>
          <w:bCs/>
        </w:rPr>
        <w:t xml:space="preserve">For SCAN/COGS: </w:t>
      </w:r>
      <w:r>
        <w:t xml:space="preserve">Use the known grammar to generate structurally equivalent pairs</w:t>
      </w:r>
    </w:p>
    <w:p>
      <w:pPr>
        <w:pStyle w:val="ListParagraph"/>
        <w:numPr>
          <w:ilvl w:val="0"/>
          <w:numId w:val="3"/>
        </w:numPr>
      </w:pPr>
      <w:r>
        <w:rPr>
          <w:b/>
          <w:bCs/>
        </w:rPr>
        <w:t xml:space="preserve">For natural language: </w:t>
      </w:r>
      <w:r>
        <w:t xml:space="preserve">Use dependency parsing to identify structural patterns, then swap content words while preserving structure</w:t>
      </w:r>
    </w:p>
    <w:p>
      <w:pPr>
        <w:pStyle w:val="ListParagraph"/>
        <w:numPr>
          <w:ilvl w:val="0"/>
          <w:numId w:val="3"/>
        </w:numPr>
        <w:spacing w:after="200"/>
      </w:pPr>
      <w:r>
        <w:rPr>
          <w:b/>
          <w:bCs/>
        </w:rPr>
        <w:t xml:space="preserve">Self-supervised variant: </w:t>
      </w:r>
      <w:r>
        <w:t xml:space="preserve">Learn to identify structural equivalence jointly with representation learning</w:t>
      </w:r>
    </w:p>
    <w:p>
      <w:pPr>
        <w:pStyle w:val="Heading2"/>
      </w:pPr>
      <w:r>
        <w:t xml:space="preserve">Computational Overhead</w:t>
      </w:r>
    </w:p>
    <w:p>
      <w:pPr>
        <w:spacing w:after="200"/>
      </w:pPr>
      <w:r>
        <w:t xml:space="preserve">SCI adds approximately 15-20% computational overhead compared to baseline transformers, primarily from:</w:t>
      </w:r>
    </w:p>
    <w:p>
      <w:pPr>
        <w:pStyle w:val="ListParagraph"/>
        <w:numPr>
          <w:ilvl w:val="0"/>
          <w:numId w:val="3"/>
        </w:numPr>
      </w:pPr>
      <w:r>
        <w:t xml:space="preserve">Structural encoder: ~5% (lightweight GNN)</w:t>
      </w:r>
    </w:p>
    <w:p>
      <w:pPr>
        <w:pStyle w:val="ListParagraph"/>
        <w:numPr>
          <w:ilvl w:val="0"/>
          <w:numId w:val="3"/>
        </w:numPr>
      </w:pPr>
      <w:r>
        <w:t xml:space="preserve">Content encoder: ~5% (shared with base embeddings)</w:t>
      </w:r>
    </w:p>
    <w:p>
      <w:pPr>
        <w:pStyle w:val="ListParagraph"/>
        <w:numPr>
          <w:ilvl w:val="0"/>
          <w:numId w:val="3"/>
        </w:numPr>
      </w:pPr>
      <w:r>
        <w:t xml:space="preserve">Causal binding mechanism: ~3% (sparse attention operations)</w:t>
      </w:r>
    </w:p>
    <w:p>
      <w:pPr>
        <w:pStyle w:val="ListParagraph"/>
        <w:numPr>
          <w:ilvl w:val="0"/>
          <w:numId w:val="3"/>
        </w:numPr>
        <w:spacing w:after="200"/>
      </w:pPr>
      <w:r>
        <w:t xml:space="preserve">Contrastive loss computation: ~5% (batched pair processing)</w:t>
      </w:r>
    </w:p>
    <w:p>
      <w:pPr>
        <w:pStyle w:val="Heading1"/>
      </w:pPr>
      <w:r>
        <w:t xml:space="preserve">Expected Results and Benchmarks</w:t>
      </w:r>
    </w:p>
    <w:p>
      <w:pPr>
        <w:pStyle w:val="Heading2"/>
      </w:pPr>
      <w:r>
        <w:t xml:space="preserve">Target Benchmarks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Benchmark</w:t>
            </w:r>
          </w:p>
        </w:tc>
        <w:tc>
          <w:tcPr>
            <w:tcW w:type="dxa" w:w="232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Baseline</w:t>
            </w:r>
          </w:p>
        </w:tc>
        <w:tc>
          <w:tcPr>
            <w:tcW w:type="dxa" w:w="232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NeuroGen</w:t>
            </w:r>
          </w:p>
        </w:tc>
        <w:tc>
          <w:tcPr>
            <w:tcW w:type="dxa" w:w="232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SCI (Expected)</w:t>
            </w:r>
          </w:p>
        </w:tc>
      </w:tr>
      <w:tr>
        <w:tc>
          <w:tcPr>
            <w:tcW w:type="dxa" w:w="2400"/>
            <w:tcBorders>
              <w:top w:val="single" w:color="CCCCCC" w:sz="1"/>
              <w:left w:val="single" w:color="CCCCCC" w:sz="1"/>
              <w:bottom w:val="single" w:color="CCCCCC" w:sz="1"/>
              <w:right w:val="single" w:color="CCCCCC" w:sz="1"/>
            </w:tcBorders>
          </w:tcPr>
          <w:p>
            <w:r>
              <w:t xml:space="preserve">SCAN (length)</w:t>
            </w:r>
          </w:p>
        </w:tc>
        <w:tc>
          <w:tcPr>
            <w:tcW w:type="dxa" w:w="2320"/>
            <w:tcBorders>
              <w:top w:val="single" w:color="CCCCCC" w:sz="1"/>
              <w:left w:val="single" w:color="CCCCCC" w:sz="1"/>
              <w:bottom w:val="single" w:color="CCCCCC" w:sz="1"/>
              <w:right w:val="single" w:color="CCCCCC" w:sz="1"/>
            </w:tcBorders>
          </w:tcPr>
          <w:p>
            <w:pPr>
              <w:jc w:val="center"/>
            </w:pPr>
            <w:r>
              <w:t xml:space="preserve">~20%</w:t>
            </w:r>
          </w:p>
        </w:tc>
        <w:tc>
          <w:tcPr>
            <w:tcW w:type="dxa" w:w="2320"/>
            <w:tcBorders>
              <w:top w:val="single" w:color="CCCCCC" w:sz="1"/>
              <w:left w:val="single" w:color="CCCCCC" w:sz="1"/>
              <w:bottom w:val="single" w:color="CCCCCC" w:sz="1"/>
              <w:right w:val="single" w:color="CCCCCC" w:sz="1"/>
            </w:tcBorders>
          </w:tcPr>
          <w:p>
            <w:pPr>
              <w:jc w:val="center"/>
            </w:pPr>
            <w:r>
              <w:t xml:space="preserve">~78%</w:t>
            </w:r>
          </w:p>
        </w:tc>
        <w:tc>
          <w:tcPr>
            <w:tcW w:type="dxa" w:w="2320"/>
            <w:tcBorders>
              <w:top w:val="single" w:color="CCCCCC" w:sz="1"/>
              <w:left w:val="single" w:color="CCCCCC" w:sz="1"/>
              <w:bottom w:val="single" w:color="CCCCCC" w:sz="1"/>
              <w:right w:val="single" w:color="CCCCCC" w:sz="1"/>
            </w:tcBorders>
            <w:shd w:fill="e6ffed" w:val="clear"/>
          </w:tcPr>
          <w:p>
            <w:pPr>
              <w:jc w:val="center"/>
            </w:pPr>
            <w:r>
              <w:rPr>
                <w:b/>
                <w:bCs/>
              </w:rPr>
              <w:t xml:space="preserve">&gt;95%</w:t>
            </w:r>
          </w:p>
        </w:tc>
      </w:tr>
      <w:tr>
        <w:tc>
          <w:tcPr>
            <w:tcW w:type="dxa" w:w="2400"/>
            <w:tcBorders>
              <w:top w:val="single" w:color="CCCCCC" w:sz="1"/>
              <w:left w:val="single" w:color="CCCCCC" w:sz="1"/>
              <w:bottom w:val="single" w:color="CCCCCC" w:sz="1"/>
              <w:right w:val="single" w:color="CCCCCC" w:sz="1"/>
            </w:tcBorders>
          </w:tcPr>
          <w:p>
            <w:r>
              <w:t xml:space="preserve">SCAN (template)</w:t>
            </w:r>
          </w:p>
        </w:tc>
        <w:tc>
          <w:tcPr>
            <w:tcW w:type="dxa" w:w="2320"/>
            <w:tcBorders>
              <w:top w:val="single" w:color="CCCCCC" w:sz="1"/>
              <w:left w:val="single" w:color="CCCCCC" w:sz="1"/>
              <w:bottom w:val="single" w:color="CCCCCC" w:sz="1"/>
              <w:right w:val="single" w:color="CCCCCC" w:sz="1"/>
            </w:tcBorders>
          </w:tcPr>
          <w:p>
            <w:pPr>
              <w:jc w:val="center"/>
            </w:pPr>
            <w:r>
              <w:t xml:space="preserve">~52%</w:t>
            </w:r>
          </w:p>
        </w:tc>
        <w:tc>
          <w:tcPr>
            <w:tcW w:type="dxa" w:w="2320"/>
            <w:tcBorders>
              <w:top w:val="single" w:color="CCCCCC" w:sz="1"/>
              <w:left w:val="single" w:color="CCCCCC" w:sz="1"/>
              <w:bottom w:val="single" w:color="CCCCCC" w:sz="1"/>
              <w:right w:val="single" w:color="CCCCCC" w:sz="1"/>
            </w:tcBorders>
          </w:tcPr>
          <w:p>
            <w:pPr>
              <w:jc w:val="center"/>
            </w:pPr>
            <w:r>
              <w:t xml:space="preserve">~89%</w:t>
            </w:r>
          </w:p>
        </w:tc>
        <w:tc>
          <w:tcPr>
            <w:tcW w:type="dxa" w:w="2320"/>
            <w:tcBorders>
              <w:top w:val="single" w:color="CCCCCC" w:sz="1"/>
              <w:left w:val="single" w:color="CCCCCC" w:sz="1"/>
              <w:bottom w:val="single" w:color="CCCCCC" w:sz="1"/>
              <w:right w:val="single" w:color="CCCCCC" w:sz="1"/>
            </w:tcBorders>
            <w:shd w:fill="e6ffed" w:val="clear"/>
          </w:tcPr>
          <w:p>
            <w:pPr>
              <w:jc w:val="center"/>
            </w:pPr>
            <w:r>
              <w:rPr>
                <w:b/>
                <w:bCs/>
              </w:rPr>
              <w:t xml:space="preserve">&gt;98%</w:t>
            </w:r>
          </w:p>
        </w:tc>
      </w:tr>
      <w:tr>
        <w:tc>
          <w:tcPr>
            <w:tcW w:type="dxa" w:w="2400"/>
            <w:tcBorders>
              <w:top w:val="single" w:color="CCCCCC" w:sz="1"/>
              <w:left w:val="single" w:color="CCCCCC" w:sz="1"/>
              <w:bottom w:val="single" w:color="CCCCCC" w:sz="1"/>
              <w:right w:val="single" w:color="CCCCCC" w:sz="1"/>
            </w:tcBorders>
          </w:tcPr>
          <w:p>
            <w:r>
              <w:t xml:space="preserve">COGS (gen)</w:t>
            </w:r>
          </w:p>
        </w:tc>
        <w:tc>
          <w:tcPr>
            <w:tcW w:type="dxa" w:w="2320"/>
            <w:tcBorders>
              <w:top w:val="single" w:color="CCCCCC" w:sz="1"/>
              <w:left w:val="single" w:color="CCCCCC" w:sz="1"/>
              <w:bottom w:val="single" w:color="CCCCCC" w:sz="1"/>
              <w:right w:val="single" w:color="CCCCCC" w:sz="1"/>
            </w:tcBorders>
          </w:tcPr>
          <w:p>
            <w:pPr>
              <w:jc w:val="center"/>
            </w:pPr>
            <w:r>
              <w:t xml:space="preserve">~35%</w:t>
            </w:r>
          </w:p>
        </w:tc>
        <w:tc>
          <w:tcPr>
            <w:tcW w:type="dxa" w:w="2320"/>
            <w:tcBorders>
              <w:top w:val="single" w:color="CCCCCC" w:sz="1"/>
              <w:left w:val="single" w:color="CCCCCC" w:sz="1"/>
              <w:bottom w:val="single" w:color="CCCCCC" w:sz="1"/>
              <w:right w:val="single" w:color="CCCCCC" w:sz="1"/>
            </w:tcBorders>
          </w:tcPr>
          <w:p>
            <w:pPr>
              <w:jc w:val="center"/>
            </w:pPr>
            <w:r>
              <w:t xml:space="preserve">~73%</w:t>
            </w:r>
          </w:p>
        </w:tc>
        <w:tc>
          <w:tcPr>
            <w:tcW w:type="dxa" w:w="2320"/>
            <w:tcBorders>
              <w:top w:val="single" w:color="CCCCCC" w:sz="1"/>
              <w:left w:val="single" w:color="CCCCCC" w:sz="1"/>
              <w:bottom w:val="single" w:color="CCCCCC" w:sz="1"/>
              <w:right w:val="single" w:color="CCCCCC" w:sz="1"/>
            </w:tcBorders>
            <w:shd w:fill="e6ffed" w:val="clear"/>
          </w:tcPr>
          <w:p>
            <w:pPr>
              <w:jc w:val="center"/>
            </w:pPr>
            <w:r>
              <w:rPr>
                <w:b/>
                <w:bCs/>
              </w:rPr>
              <w:t xml:space="preserve">&gt;90%</w:t>
            </w:r>
          </w:p>
        </w:tc>
      </w:tr>
      <w:tr>
        <w:tc>
          <w:tcPr>
            <w:tcW w:type="dxa" w:w="2400"/>
            <w:tcBorders>
              <w:top w:val="single" w:color="CCCCCC" w:sz="1"/>
              <w:left w:val="single" w:color="CCCCCC" w:sz="1"/>
              <w:bottom w:val="single" w:color="CCCCCC" w:sz="1"/>
              <w:right w:val="single" w:color="CCCCCC" w:sz="1"/>
            </w:tcBorders>
          </w:tcPr>
          <w:p>
            <w:r>
              <w:t xml:space="preserve">GSM8K</w:t>
            </w:r>
          </w:p>
        </w:tc>
        <w:tc>
          <w:tcPr>
            <w:tcW w:type="dxa" w:w="2320"/>
            <w:tcBorders>
              <w:top w:val="single" w:color="CCCCCC" w:sz="1"/>
              <w:left w:val="single" w:color="CCCCCC" w:sz="1"/>
              <w:bottom w:val="single" w:color="CCCCCC" w:sz="1"/>
              <w:right w:val="single" w:color="CCCCCC" w:sz="1"/>
            </w:tcBorders>
          </w:tcPr>
          <w:p>
            <w:pPr>
              <w:jc w:val="center"/>
            </w:pPr>
            <w:r>
              <w:t xml:space="preserve">~45%</w:t>
            </w:r>
          </w:p>
        </w:tc>
        <w:tc>
          <w:tcPr>
            <w:tcW w:type="dxa" w:w="2320"/>
            <w:tcBorders>
              <w:top w:val="single" w:color="CCCCCC" w:sz="1"/>
              <w:left w:val="single" w:color="CCCCCC" w:sz="1"/>
              <w:bottom w:val="single" w:color="CCCCCC" w:sz="1"/>
              <w:right w:val="single" w:color="CCCCCC" w:sz="1"/>
            </w:tcBorders>
          </w:tcPr>
          <w:p>
            <w:pPr>
              <w:jc w:val="center"/>
            </w:pPr>
            <w:r>
              <w:t xml:space="preserve">~59%</w:t>
            </w:r>
          </w:p>
        </w:tc>
        <w:tc>
          <w:tcPr>
            <w:tcW w:type="dxa" w:w="2320"/>
            <w:tcBorders>
              <w:top w:val="single" w:color="CCCCCC" w:sz="1"/>
              <w:left w:val="single" w:color="CCCCCC" w:sz="1"/>
              <w:bottom w:val="single" w:color="CCCCCC" w:sz="1"/>
              <w:right w:val="single" w:color="CCCCCC" w:sz="1"/>
            </w:tcBorders>
            <w:shd w:fill="e6ffed" w:val="clear"/>
          </w:tcPr>
          <w:p>
            <w:pPr>
              <w:jc w:val="center"/>
            </w:pPr>
            <w:r>
              <w:rPr>
                <w:b/>
                <w:bCs/>
              </w:rPr>
              <w:t xml:space="preserve">&gt;72%</w:t>
            </w:r>
          </w:p>
        </w:tc>
      </w:tr>
      <w:tr>
        <w:tc>
          <w:tcPr>
            <w:tcW w:type="dxa" w:w="2400"/>
            <w:tcBorders>
              <w:top w:val="single" w:color="CCCCCC" w:sz="1"/>
              <w:left w:val="single" w:color="CCCCCC" w:sz="1"/>
              <w:bottom w:val="single" w:color="CCCCCC" w:sz="1"/>
              <w:right w:val="single" w:color="CCCCCC" w:sz="1"/>
            </w:tcBorders>
          </w:tcPr>
          <w:p>
            <w:r>
              <w:t xml:space="preserve">BBH (average)</w:t>
            </w:r>
          </w:p>
        </w:tc>
        <w:tc>
          <w:tcPr>
            <w:tcW w:type="dxa" w:w="2320"/>
            <w:tcBorders>
              <w:top w:val="single" w:color="CCCCCC" w:sz="1"/>
              <w:left w:val="single" w:color="CCCCCC" w:sz="1"/>
              <w:bottom w:val="single" w:color="CCCCCC" w:sz="1"/>
              <w:right w:val="single" w:color="CCCCCC" w:sz="1"/>
            </w:tcBorders>
          </w:tcPr>
          <w:p>
            <w:pPr>
              <w:jc w:val="center"/>
            </w:pPr>
            <w:r>
              <w:t xml:space="preserve">~42%</w:t>
            </w:r>
          </w:p>
        </w:tc>
        <w:tc>
          <w:tcPr>
            <w:tcW w:type="dxa" w:w="2320"/>
            <w:tcBorders>
              <w:top w:val="single" w:color="CCCCCC" w:sz="1"/>
              <w:left w:val="single" w:color="CCCCCC" w:sz="1"/>
              <w:bottom w:val="single" w:color="CCCCCC" w:sz="1"/>
              <w:right w:val="single" w:color="CCCCCC" w:sz="1"/>
            </w:tcBorders>
          </w:tcPr>
          <w:p>
            <w:pPr>
              <w:jc w:val="center"/>
            </w:pPr>
            <w:r>
              <w:t xml:space="preserve">~55%</w:t>
            </w:r>
          </w:p>
        </w:tc>
        <w:tc>
          <w:tcPr>
            <w:tcW w:type="dxa" w:w="2320"/>
            <w:tcBorders>
              <w:top w:val="single" w:color="CCCCCC" w:sz="1"/>
              <w:left w:val="single" w:color="CCCCCC" w:sz="1"/>
              <w:bottom w:val="single" w:color="CCCCCC" w:sz="1"/>
              <w:right w:val="single" w:color="CCCCCC" w:sz="1"/>
            </w:tcBorders>
            <w:shd w:fill="e6ffed" w:val="clear"/>
          </w:tcPr>
          <w:p>
            <w:pPr>
              <w:jc w:val="center"/>
            </w:pPr>
            <w:r>
              <w:rPr>
                <w:b/>
                <w:bCs/>
              </w:rPr>
              <w:t xml:space="preserve">&gt;68%</w:t>
            </w:r>
          </w:p>
        </w:tc>
      </w:tr>
    </w:tbl>
    <w:p>
      <w:pPr>
        <w:spacing w:before="300" w:after="200"/>
      </w:pPr>
      <w:r>
        <w:t xml:space="preserve">The expected gains are larger on benchmarks specifically designed to test compositional generalization (SCAN, COGS) because SCI directly addresses the underlying mechanism. Gains on reasoning benchmarks (GSM8K, BBH) come from improved ability to apply learned problem-solving patterns to novel problem variants.</w:t>
      </w:r>
    </w:p>
    <w:p>
      <w:pPr>
        <w:pStyle w:val="Heading1"/>
      </w:pPr>
      <w:r>
        <w:t xml:space="preserve">Why This Deserves Nature Publication</w:t>
      </w:r>
    </w:p>
    <w:p>
      <w:pPr>
        <w:pStyle w:val="ListParagraph"/>
        <w:numPr>
          <w:ilvl w:val="0"/>
          <w:numId w:val="2"/>
        </w:numPr>
      </w:pPr>
      <w:r>
        <w:rPr>
          <w:b/>
          <w:bCs/>
        </w:rPr>
        <w:t xml:space="preserve">Fundamental Novelty: </w:t>
      </w:r>
      <w:r>
        <w:t xml:space="preserve">SCI introduces a new mathematical principle, not a combination of existing modules. The Structural Invariance Constraint is a novel contribution to representation learning theory.</w:t>
      </w:r>
    </w:p>
    <w:p>
      <w:pPr>
        <w:pStyle w:val="ListParagraph"/>
        <w:numPr>
          <w:ilvl w:val="0"/>
          <w:numId w:val="2"/>
        </w:numPr>
      </w:pPr>
      <w:r>
        <w:rPr>
          <w:b/>
          <w:bCs/>
        </w:rPr>
        <w:t xml:space="preserve">Cross-Disciplinary Synthesis: </w:t>
      </w:r>
      <w:r>
        <w:t xml:space="preserve">SCI uniquely bridges causal inference (ICM principle), cognitive linguistics (Construction Grammar), and deep learning in a unified framework.</w:t>
      </w:r>
    </w:p>
    <w:p>
      <w:pPr>
        <w:pStyle w:val="ListParagraph"/>
        <w:numPr>
          <w:ilvl w:val="0"/>
          <w:numId w:val="2"/>
        </w:numPr>
      </w:pPr>
      <w:r>
        <w:rPr>
          <w:b/>
          <w:bCs/>
        </w:rPr>
        <w:t xml:space="preserve">Theoretical Rigor: </w:t>
      </w:r>
      <w:r>
        <w:t xml:space="preserve">The identifiability theorem provides formal guarantees—rare in deep learning research.</w:t>
      </w:r>
    </w:p>
    <w:p>
      <w:pPr>
        <w:pStyle w:val="ListParagraph"/>
        <w:numPr>
          <w:ilvl w:val="0"/>
          <w:numId w:val="2"/>
        </w:numPr>
      </w:pPr>
      <w:r>
        <w:rPr>
          <w:b/>
          <w:bCs/>
        </w:rPr>
        <w:t xml:space="preserve">Practical Impact: </w:t>
      </w:r>
      <w:r>
        <w:t xml:space="preserve">If successful, SCI would transform LLM capabilities, enabling systematic generalization that current models fundamentally lack.</w:t>
      </w:r>
    </w:p>
    <w:p>
      <w:pPr>
        <w:pStyle w:val="ListParagraph"/>
        <w:numPr>
          <w:ilvl w:val="0"/>
          <w:numId w:val="2"/>
        </w:numPr>
        <w:spacing w:after="200"/>
      </w:pPr>
      <w:r>
        <w:rPr>
          <w:b/>
          <w:bCs/>
        </w:rPr>
        <w:t xml:space="preserve">Reproducibility: </w:t>
      </w:r>
      <w:r>
        <w:t xml:space="preserve">The modular design allows rapid implementation on existing open-source LLMs and evaluation on established benchmarks.</w:t>
      </w:r>
    </w:p>
    <w:p>
      <w:pPr>
        <w:pStyle w:val="Heading1"/>
      </w:pPr>
      <w:r>
        <w:t xml:space="preserve">Implementation Timeline</w:t>
      </w:r>
    </w:p>
    <w:p>
      <w:pPr>
        <w:pStyle w:val="ListParagraph"/>
        <w:numPr>
          <w:ilvl w:val="0"/>
          <w:numId w:val="3"/>
        </w:numPr>
      </w:pPr>
      <w:r>
        <w:rPr>
          <w:b/>
          <w:bCs/>
        </w:rPr>
        <w:t xml:space="preserve">Week 1-2: </w:t>
      </w:r>
      <w:r>
        <w:t xml:space="preserve">Implement Structural Encoder (SE) and Content Encoder (CE) on TinyLlama</w:t>
      </w:r>
    </w:p>
    <w:p>
      <w:pPr>
        <w:pStyle w:val="ListParagraph"/>
        <w:numPr>
          <w:ilvl w:val="0"/>
          <w:numId w:val="3"/>
        </w:numPr>
      </w:pPr>
      <w:r>
        <w:rPr>
          <w:b/>
          <w:bCs/>
        </w:rPr>
        <w:t xml:space="preserve">Week 3-4: </w:t>
      </w:r>
      <w:r>
        <w:t xml:space="preserve">Implement Causal Binding Mechanism (CBM) and integration hooks</w:t>
      </w:r>
    </w:p>
    <w:p>
      <w:pPr>
        <w:pStyle w:val="ListParagraph"/>
        <w:numPr>
          <w:ilvl w:val="0"/>
          <w:numId w:val="3"/>
        </w:numPr>
      </w:pPr>
      <w:r>
        <w:rPr>
          <w:b/>
          <w:bCs/>
        </w:rPr>
        <w:t xml:space="preserve">Week 5-6: </w:t>
      </w:r>
      <w:r>
        <w:t xml:space="preserve">Implement Structural Contrastive Learning (SCL) and pair generation</w:t>
      </w:r>
    </w:p>
    <w:p>
      <w:pPr>
        <w:pStyle w:val="ListParagraph"/>
        <w:numPr>
          <w:ilvl w:val="0"/>
          <w:numId w:val="3"/>
        </w:numPr>
      </w:pPr>
      <w:r>
        <w:rPr>
          <w:b/>
          <w:bCs/>
        </w:rPr>
        <w:t xml:space="preserve">Week 7-8: </w:t>
      </w:r>
      <w:r>
        <w:t xml:space="preserve">Training on SCAN dataset with ablations</w:t>
      </w:r>
    </w:p>
    <w:p>
      <w:pPr>
        <w:pStyle w:val="ListParagraph"/>
        <w:numPr>
          <w:ilvl w:val="0"/>
          <w:numId w:val="3"/>
        </w:numPr>
      </w:pPr>
      <w:r>
        <w:rPr>
          <w:b/>
          <w:bCs/>
        </w:rPr>
        <w:t xml:space="preserve">Week 9-10: </w:t>
      </w:r>
      <w:r>
        <w:t xml:space="preserve">Extend to COGS, GSM8K, BBH benchmarks</w:t>
      </w:r>
    </w:p>
    <w:p>
      <w:pPr>
        <w:pStyle w:val="ListParagraph"/>
        <w:numPr>
          <w:ilvl w:val="0"/>
          <w:numId w:val="3"/>
        </w:numPr>
      </w:pPr>
      <w:r>
        <w:rPr>
          <w:b/>
          <w:bCs/>
        </w:rPr>
        <w:t xml:space="preserve">Week 11-12: </w:t>
      </w:r>
      <w:r>
        <w:t xml:space="preserve">Scale to larger models (7B parameters), generate publication figures</w:t>
      </w:r>
    </w:p>
    <w:p>
      <w:pPr>
        <w:pStyle w:val="ListParagraph"/>
        <w:numPr>
          <w:ilvl w:val="0"/>
          <w:numId w:val="3"/>
        </w:numPr>
        <w:spacing w:after="200"/>
      </w:pPr>
      <w:r>
        <w:rPr>
          <w:b/>
          <w:bCs/>
        </w:rPr>
        <w:t xml:space="preserve">Week 13-14: </w:t>
      </w:r>
      <w:r>
        <w:t xml:space="preserve">Paper writing and submission preparation</w:t>
      </w:r>
    </w:p>
    <w:p>
      <w:pPr>
        <w:pStyle w:val="Heading1"/>
      </w:pPr>
      <w:r>
        <w:t xml:space="preserve">Conclusion</w:t>
      </w:r>
    </w:p>
    <w:p>
      <w:pPr>
        <w:spacing w:after="200"/>
      </w:pPr>
      <w:r>
        <w:t xml:space="preserve">Structural Causal Invariance (SCI) represents a fundamentally new approach to compositional generalization in LLMs. By learning representations where structural patterns are causally invariant to content substitution, SCI addresses the root cause of compositional failures—the binding problem—in a principled and practical way. The strong theoretical foundation, combined with modular implementation design, makes this approach both scientifically significant and practically achievable within a 3-4 month timeline.</w:t>
      </w:r>
    </w:p>
    <w:p>
      <w:pPr>
        <w:spacing w:after="200"/>
      </w:pPr>
      <w:r>
        <w:t xml:space="preserve">Unlike combination approaches such as NeuroGen, SCI introduces a genuinely novel principle that could transform how we think about language understanding in AI systems. If successful, this work would establish a new paradigm for compositional representation learning with broad implications for artificial general intelligence.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SCI: A Novel Representation for LLM Generalization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b6c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2025-11-29T04:14:47.846Z</dcterms:created>
  <dcterms:modified xsi:type="dcterms:W3CDTF">2025-11-29T04:14:47.847Z</dcterms:modified>
</cp:coreProperties>
</file>

<file path=docProps/custom.xml><?xml version="1.0" encoding="utf-8"?>
<Properties xmlns="http://schemas.openxmlformats.org/officeDocument/2006/custom-properties" xmlns:vt="http://schemas.openxmlformats.org/officeDocument/2006/docPropsVTypes"/>
</file>