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6c6a57ee00ac4b31ec6b8ae62bc6facea0c105b"/>
    <w:p>
      <w:pPr>
        <w:pStyle w:val="Heading1"/>
      </w:pPr>
      <w:r>
        <w:t xml:space="preserve">Hot Towel — Revision To-Do List v3 (AEJ Micro)</w:t>
      </w:r>
    </w:p>
    <w:p>
      <w:pPr>
        <w:pStyle w:val="FirstParagraph"/>
      </w:pPr>
      <w:r>
        <w:rPr>
          <w:b/>
          <w:bCs/>
        </w:rPr>
        <w:t xml:space="preserve">Updates in v3 (vs. v2):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Ownership reassigned.</w:t>
      </w:r>
      <w:r>
        <w:t xml:space="preserve"> </w:t>
      </w:r>
      <w:r>
        <w:t xml:space="preserve">Peyman does the heavy lifting across the revision. John’s only role is a</w:t>
      </w:r>
      <w:r>
        <w:t xml:space="preserve"> </w:t>
      </w:r>
      <w:r>
        <w:rPr>
          <w:b/>
          <w:bCs/>
        </w:rPr>
        <w:t xml:space="preserve">final-pass review of the empirics section</w:t>
      </w:r>
      <w:r>
        <w:t xml:space="preserve"> </w:t>
      </w:r>
      <w:r>
        <w:t xml:space="preserve">to sanity-check Peyman’s edits. Previously-</w:t>
      </w:r>
      <w:r>
        <w:rPr>
          <w:rStyle w:val="VerbatimChar"/>
        </w:rPr>
        <w:t xml:space="preserve">[John]</w:t>
      </w:r>
      <w:r>
        <w:t xml:space="preserve"> </w:t>
      </w:r>
      <w:r>
        <w:t xml:space="preserve">items are now</w:t>
      </w:r>
      <w:r>
        <w:t xml:space="preserve"> </w:t>
      </w:r>
      <w:r>
        <w:rPr>
          <w:rStyle w:val="VerbatimChar"/>
        </w:rPr>
        <w:t xml:space="preserve">[Peyman]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[Coauthors]</w:t>
      </w:r>
      <w:r>
        <w:t xml:space="preserve"> </w:t>
      </w:r>
      <w:r>
        <w:t xml:space="preserve">retained for items that require author-level judgment (substantive wage-determination defense, framing vs. modern literature, second-signal conceptual defense).</w:t>
      </w:r>
      <w:r>
        <w:t xml:space="preserve"> </w:t>
      </w:r>
      <w:r>
        <w:t xml:space="preserve">- Added tag</w:t>
      </w:r>
      <w:r>
        <w:t xml:space="preserve"> </w:t>
      </w:r>
      <w:r>
        <w:rPr>
          <w:rStyle w:val="VerbatimChar"/>
        </w:rPr>
        <w:t xml:space="preserve">[John-review]</w:t>
      </w:r>
      <w:r>
        <w:t xml:space="preserve"> </w:t>
      </w:r>
      <w:r>
        <w:t xml:space="preserve">on empirical items that John will sanity-check after Peyman’s pass.</w:t>
      </w:r>
    </w:p>
    <w:p>
      <w:pPr>
        <w:pStyle w:val="BodyText"/>
      </w:pPr>
      <w:r>
        <w:t xml:space="preserve">Derived from the editor’s letter (Navin Kartik), referee reports R1–R3, Peyman’s margin annotations on the reports, the pre-meeting GPT thematic synthesis, and the handwritten meeting directives. Full narrative in</w:t>
      </w:r>
      <w:r>
        <w:t xml:space="preserve"> </w:t>
      </w:r>
      <w:r>
        <w:rPr>
          <w:rStyle w:val="VerbatimChar"/>
        </w:rPr>
        <w:t xml:space="preserve">revision_notes/Combined_Meeting_Notes.docx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3" w:name="part-a-operative-plan-assignments"/>
    <w:p>
      <w:pPr>
        <w:pStyle w:val="Heading2"/>
      </w:pPr>
      <w:r>
        <w:t xml:space="preserve">Part A — Operative Plan &amp; Assignments</w:t>
      </w:r>
    </w:p>
    <w:bookmarkStart w:id="9" w:name="a.1.-overall-workflow"/>
    <w:p>
      <w:pPr>
        <w:pStyle w:val="Heading3"/>
      </w:pPr>
      <w:r>
        <w:t xml:space="preserve">A.1. Overall workflow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owns the revision end-to-end: model rewrite, empirics edits, typos, references, response letter.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[John-review]</w:t>
      </w:r>
      <w:r>
        <w:t xml:space="preserve"> </w:t>
      </w:r>
      <w:r>
        <w:t xml:space="preserve">sanity-checks the</w:t>
      </w:r>
      <w:r>
        <w:t xml:space="preserve"> </w:t>
      </w:r>
      <w:r>
        <w:rPr>
          <w:b/>
          <w:bCs/>
        </w:rPr>
        <w:t xml:space="preserve">empirics section</w:t>
      </w:r>
      <w:r>
        <w:t xml:space="preserve"> </w:t>
      </w:r>
      <w:r>
        <w:t xml:space="preserve">once Peyman’s edits are in place. Not involved in the model rewrite.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[Coauthors]</w:t>
      </w:r>
      <w:r>
        <w:t xml:space="preserve"> </w:t>
      </w:r>
      <w:r>
        <w:t xml:space="preserve">(Johari, Kircher) weigh in on substantive theoretical decisions (wage determination, second-signal conceptual defense, framing vs. Backus-Blake-Tadelis literature).</w:t>
      </w:r>
    </w:p>
    <w:bookmarkEnd w:id="9"/>
    <w:bookmarkStart w:id="10" w:name="X3f1de28c8594571700cbbc67a4483005b4f3865"/>
    <w:p>
      <w:pPr>
        <w:pStyle w:val="Heading3"/>
      </w:pPr>
      <w:r>
        <w:t xml:space="preserve">A.2. Model section — the radical restructure</w:t>
      </w:r>
    </w:p>
    <w:p>
      <w:pPr>
        <w:pStyle w:val="FirstParagraph"/>
      </w:pPr>
      <w:r>
        <w:t xml:space="preserve">The meeting decided on something more aggressive than the referees strictly demanded. The main text of the theory section should contain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first-order conditions and comparative statics. Everything else moves.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[Peyman]</w:t>
      </w:r>
      <w:r>
        <w:t xml:space="preserve"> </w:t>
      </w:r>
      <w:r>
        <w:rPr>
          <w:b/>
          <w:bCs/>
        </w:rPr>
        <w:t xml:space="preserve">Rewrite the model body so it contains only FOCs and comparative statics.</w:t>
      </w:r>
      <w:r>
        <w:t xml:space="preserve"> </w:t>
      </w:r>
      <w:r>
        <w:t xml:space="preserve">No lengthy derivations, no robustness discussion, no</w:t>
      </w:r>
      <w:r>
        <w:t xml:space="preserve"> </w:t>
      </w:r>
      <w:r>
        <w:t xml:space="preserve">“we could have done X”</w:t>
      </w:r>
      <w:r>
        <w:t xml:space="preserve"> </w:t>
      </w:r>
      <w:r>
        <w:t xml:space="preserve">hedging. The body should read like a sketch that a directed-search theorist can fill in from FOCs.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[Peyman]</w:t>
      </w:r>
      <w:r>
        <w:t xml:space="preserve"> </w:t>
      </w:r>
      <w:r>
        <w:rPr>
          <w:b/>
          <w:bCs/>
        </w:rPr>
        <w:t xml:space="preserve">Move all robustness material to the appendix.</w:t>
      </w:r>
      <w:r>
        <w:t xml:space="preserve"> </w:t>
      </w:r>
      <w:r>
        <w:t xml:space="preserve">This includes the</w:t>
      </w:r>
      <w:r>
        <w:t xml:space="preserve"> </w:t>
      </w:r>
      <w:r>
        <w:t xml:space="preserve">“Model Omissions, Extensions and Robustness”</w:t>
      </w:r>
      <w:r>
        <w:t xml:space="preserve"> </w:t>
      </w:r>
      <w:r>
        <w:t xml:space="preserve">subsection in the current version and any alternative-production-function 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-precision discussion.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[Peyman]</w:t>
      </w:r>
      <w:r>
        <w:t xml:space="preserve"> </w:t>
      </w:r>
      <w:r>
        <w:rPr>
          <w:b/>
          <w:bCs/>
        </w:rPr>
        <w:t xml:space="preserve">Move the second signal (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 to the appendix</w:t>
      </w:r>
      <w:r>
        <w:t xml:space="preserve">, but keep it available — it is still required for the comparative statics to go through. It does not disappear from the model; it disappears from the body’s exposition.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[Peyman]</w:t>
      </w:r>
      <w:r>
        <w:t xml:space="preserve"> </w:t>
      </w:r>
      <w:r>
        <w:rPr>
          <w:b/>
          <w:bCs/>
        </w:rPr>
        <w:t xml:space="preserve">Move anything currently</w:t>
      </w:r>
      <w:r>
        <w:rPr>
          <w:b/>
          <w:bCs/>
        </w:rPr>
        <w:t xml:space="preserve"> </w:t>
      </w:r>
      <w:r>
        <w:rPr>
          <w:b/>
          <w:bCs/>
        </w:rPr>
        <w:t xml:space="preserve">“buried”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 body to the appendix.</w:t>
      </w:r>
      <w:r>
        <w:t xml:space="preserve"> </w:t>
      </w:r>
      <w:r>
        <w:t xml:space="preserve">Interpretation: long digressions, multi-paragraph defenses, and anything that interrupts the FOC → comparative statics flow.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[Coauthors]</w:t>
      </w:r>
      <w:r>
        <w:t xml:space="preserve"> </w:t>
      </w:r>
      <w:r>
        <w:t xml:space="preserve">are the fallback for the one substantive item Peyman can’t decide alone: the conceptual defense of why near-perfect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still allows non-trivial wage effects (see §1d below).</w:t>
      </w:r>
    </w:p>
    <w:bookmarkEnd w:id="10"/>
    <w:bookmarkStart w:id="11" w:name="a.3.-base-version-to-build-from"/>
    <w:p>
      <w:pPr>
        <w:pStyle w:val="Heading3"/>
      </w:pPr>
      <w:r>
        <w:t xml:space="preserve">A.3. Base version to build from</w:t>
      </w:r>
    </w:p>
    <w:p>
      <w:pPr>
        <w:pStyle w:val="FirstParagraph"/>
      </w:pPr>
      <w:r>
        <w:t xml:space="preserve">The revision builds on top of</w:t>
      </w:r>
      <w:r>
        <w:t xml:space="preserve"> </w:t>
      </w:r>
      <w:r>
        <w:rPr>
          <w:rStyle w:val="VerbatimChar"/>
          <w:b/>
          <w:bCs/>
        </w:rPr>
        <w:t xml:space="preserve">writeup/hot_towel_backup.tex</w:t>
      </w:r>
      <w:r>
        <w:t xml:space="preserve"> </w:t>
      </w:r>
      <w:r>
        <w:t xml:space="preserve">— the standalone-theory PK backup already compiled in the repo (most recent PK backup, Feb 2023, equivalent to the March 2022 version). This is already the</w:t>
      </w:r>
      <w:r>
        <w:t xml:space="preserve"> </w:t>
      </w:r>
      <w:r>
        <w:t xml:space="preserve">“not much equations”</w:t>
      </w:r>
      <w:r>
        <w:t xml:space="preserve"> </w:t>
      </w:r>
      <w:r>
        <w:t xml:space="preserve">starting point. See</w:t>
      </w:r>
      <w:r>
        <w:t xml:space="preserve"> </w:t>
      </w:r>
      <w:r>
        <w:rPr>
          <w:rStyle w:val="VerbatimChar"/>
        </w:rPr>
        <w:t xml:space="preserve">revision_notes/Version_Comparison_Backup_vs_Current.docx</w:t>
      </w:r>
      <w:r>
        <w:t xml:space="preserve"> </w:t>
      </w:r>
      <w:r>
        <w:t xml:space="preserve">for the diff against the current submission.</w:t>
      </w:r>
    </w:p>
    <w:bookmarkEnd w:id="11"/>
    <w:bookmarkStart w:id="12" w:name="a.4.-whats-not-peymans"/>
    <w:p>
      <w:pPr>
        <w:pStyle w:val="Heading3"/>
      </w:pPr>
      <w:r>
        <w:t xml:space="preserve">A.4. What’s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Peyman’s</w:t>
      </w:r>
    </w:p>
    <w:p>
      <w:pPr>
        <w:pStyle w:val="FirstParagraph"/>
      </w:pPr>
      <w:r>
        <w:t xml:space="preserve">Only two items: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Editor Additional Comment 3</w:t>
      </w:r>
      <w:r>
        <w:t xml:space="preserve"> </w:t>
      </w:r>
      <w:r>
        <w:t xml:space="preserve">(wage determination /</w:t>
      </w:r>
      <w:r>
        <w:t xml:space="preserve"> </w:t>
      </w:r>
      <w:r>
        <w:t xml:space="preserve">“firm pays the bid”</w:t>
      </w:r>
      <w:r>
        <w:t xml:space="preserve"> </w:t>
      </w:r>
      <w:r>
        <w:t xml:space="preserve">realism) —</w:t>
      </w:r>
      <w:r>
        <w:t xml:space="preserve"> </w:t>
      </w:r>
      <w:r>
        <w:rPr>
          <w:b/>
          <w:bCs/>
        </w:rPr>
        <w:t xml:space="preserve">Coauthor task.</w:t>
      </w:r>
      <w:r>
        <w:t xml:space="preserve"> </w:t>
      </w:r>
      <w:r>
        <w:rPr>
          <w:i/>
          <w:iCs/>
        </w:rPr>
        <w:t xml:space="preserve">Peyman’s margin:</w:t>
      </w:r>
      <w:r>
        <w:rPr>
          <w:i/>
          <w:iCs/>
        </w:rPr>
        <w:t xml:space="preserve"> </w:t>
      </w:r>
      <w:r>
        <w:rPr>
          <w:i/>
          <w:iCs/>
        </w:rPr>
        <w:t xml:space="preserve">“More substantial point, not me.”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Substantive framing rewrite vs. Backus–Blake–Tadelis (2019) and related modern cheap-talk literature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Coauthor task.</w:t>
      </w:r>
      <w:r>
        <w:t xml:space="preserve"> </w:t>
      </w:r>
      <w:r>
        <w:t xml:space="preserve">Peyman can draft placeholder text and flag for coauthor review, but the intellectual positioning needs an author.</w:t>
      </w:r>
    </w:p>
    <w:p>
      <w:pPr>
        <w:pStyle w:val="BodyText"/>
      </w:pPr>
      <w:r>
        <w:t xml:space="preserve">Everything else Peyman does, with John reviewing the empirics pass at the end.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9" w:name="part-b-detailed-to-dos-by-theme"/>
    <w:p>
      <w:pPr>
        <w:pStyle w:val="Heading2"/>
      </w:pPr>
      <w:r>
        <w:t xml:space="preserve">Part B — Detailed To-Dos by Theme</w:t>
      </w:r>
    </w:p>
    <w:p>
      <w:pPr>
        <w:pStyle w:val="FirstParagraph"/>
      </w:pPr>
      <w:r>
        <w:t xml:space="preserve">Items marked with</w:t>
      </w:r>
      <w:r>
        <w:t xml:space="preserve"> </w:t>
      </w:r>
      <w:r>
        <w:rPr>
          <w:b/>
          <w:bCs/>
        </w:rPr>
        <w:t xml:space="preserve">(↓ RELOCATED)</w:t>
      </w:r>
      <w:r>
        <w:t xml:space="preserve"> </w:t>
      </w:r>
      <w:r>
        <w:t xml:space="preserve">are items whose nature changed because of Meeting Decision A.2. They are no longer</w:t>
      </w:r>
      <w:r>
        <w:t xml:space="preserve"> </w:t>
      </w:r>
      <w:r>
        <w:t xml:space="preserve">“fix the body text”</w:t>
      </w:r>
      <w:r>
        <w:t xml:space="preserve"> </w:t>
      </w:r>
      <w:r>
        <w:t xml:space="preserve">items — they are</w:t>
      </w:r>
      <w:r>
        <w:t xml:space="preserve"> </w:t>
      </w:r>
      <w:r>
        <w:t xml:space="preserve">“make sure the appendix handles this correctly”</w:t>
      </w:r>
      <w:r>
        <w:t xml:space="preserve"> </w:t>
      </w:r>
      <w:r>
        <w:t xml:space="preserve">items.</w:t>
      </w:r>
    </w:p>
    <w:bookmarkStart w:id="19" w:name="Xba91c4e4b08c68bb5aaaed2aa5fe6b0f34366bc"/>
    <w:p>
      <w:pPr>
        <w:pStyle w:val="Heading3"/>
      </w:pPr>
      <w:r>
        <w:t xml:space="preserve">1. Model Section — Rewrite for Clarity (HIGH PRIORITY)</w:t>
      </w:r>
      <w:r>
        <w:t xml:space="preserve"> </w:t>
      </w:r>
      <w:r>
        <w:rPr>
          <w:rStyle w:val="VerbatimChar"/>
        </w:rPr>
        <w:t xml:space="preserve">[Peyman]</w:t>
      </w:r>
    </w:p>
    <w:bookmarkStart w:id="14" w:name="a.-separate-formalism-from-intuition"/>
    <w:p>
      <w:pPr>
        <w:pStyle w:val="Heading4"/>
      </w:pPr>
      <w:r>
        <w:t xml:space="preserve">1a. Separate formalism from intuition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Split the model section into (i) a</w:t>
      </w:r>
      <w:r>
        <w:t xml:space="preserve"> </w:t>
      </w:r>
      <w:r>
        <w:rPr>
          <w:b/>
          <w:bCs/>
        </w:rPr>
        <w:t xml:space="preserve">technical body</w:t>
      </w:r>
      <w:r>
        <w:t xml:space="preserve"> </w:t>
      </w:r>
      <w:r>
        <w:t xml:space="preserve">carrying FOCs + comparative statics, and (ii) a</w:t>
      </w:r>
      <w:r>
        <w:t xml:space="preserve"> </w:t>
      </w:r>
      <w:r>
        <w:rPr>
          <w:b/>
          <w:bCs/>
        </w:rPr>
        <w:t xml:space="preserve">separate intuition subsection</w:t>
      </w:r>
      <w:r>
        <w:t xml:space="preserve"> </w:t>
      </w:r>
      <w:r>
        <w:t xml:space="preserve">discussing modeling choices and economic logic.</w:t>
      </w:r>
      <w:r>
        <w:t xml:space="preserve"> </w:t>
      </w:r>
      <w:r>
        <w:rPr>
          <w:i/>
          <w:iCs/>
        </w:rPr>
        <w:t xml:space="preserve">(Editor; R2 §1)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Ensure the reader can distinguish definitions from commentary. Do not interleave intuition inside formal setup.</w:t>
      </w:r>
      <w:r>
        <w:t xml:space="preserve"> </w:t>
      </w:r>
      <w:r>
        <w:rPr>
          <w:i/>
          <w:iCs/>
        </w:rPr>
        <w:t xml:space="preserve">(Editor; R2 §1b)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Meeting refinement:</w:t>
      </w:r>
      <w:r>
        <w:t xml:space="preserve"> </w:t>
      </w:r>
      <w:r>
        <w:t xml:space="preserve">body should contain</w:t>
      </w:r>
      <w:r>
        <w:t xml:space="preserve"> </w:t>
      </w:r>
      <w:r>
        <w:rPr>
          <w:b/>
          <w:bCs/>
        </w:rPr>
        <w:t xml:space="preserve">much less</w:t>
      </w:r>
      <w:r>
        <w:t xml:space="preserve"> </w:t>
      </w:r>
      <w:r>
        <w:t xml:space="preserve">than even the referees asked for — only FOCs + comp statics.</w:t>
      </w:r>
    </w:p>
    <w:bookmarkEnd w:id="14"/>
    <w:bookmarkStart w:id="15" w:name="b.-trim-defensive-writing"/>
    <w:p>
      <w:pPr>
        <w:pStyle w:val="Heading4"/>
      </w:pPr>
      <w:r>
        <w:t xml:space="preserve">1b. Trim defensive writing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Remove hedging passages about generality and alternative modeling choices.</w:t>
      </w:r>
      <w:r>
        <w:t xml:space="preserve"> </w:t>
      </w:r>
      <w:r>
        <w:rPr>
          <w:i/>
          <w:iCs/>
        </w:rPr>
        <w:t xml:space="preserve">(Editor; R2 §1a)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Peyman margin:</w:t>
      </w:r>
      <w:r>
        <w:rPr>
          <w:i/>
          <w:iCs/>
        </w:rPr>
        <w:t xml:space="preserve"> </w:t>
      </w:r>
      <w:r>
        <w:rPr>
          <w:i/>
          <w:iCs/>
        </w:rPr>
        <w:t xml:space="preserve">“Last point ✓”</w:t>
      </w:r>
      <w:r>
        <w:rPr>
          <w:i/>
          <w:iCs/>
        </w:rPr>
        <w:t xml:space="preserve"> </w:t>
      </w:r>
      <w:r>
        <w:rPr>
          <w:i/>
          <w:iCs/>
        </w:rPr>
        <w:t xml:space="preserve">— already understood.</w:t>
      </w:r>
    </w:p>
    <w:bookmarkEnd w:id="15"/>
    <w:bookmarkStart w:id="16" w:name="c.-clarify-definitions-and-key-terms"/>
    <w:p>
      <w:pPr>
        <w:pStyle w:val="Heading4"/>
      </w:pPr>
      <w:r>
        <w:t xml:space="preserve">1c. Clarify definitions and key terms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Define</w:t>
      </w:r>
      <w:r>
        <w:t xml:space="preserve"> </w:t>
      </w:r>
      <w:r>
        <w:rPr>
          <w:b/>
          <w:bCs/>
        </w:rPr>
        <w:t xml:space="preserve">“large market”</w:t>
      </w:r>
      <w:r>
        <w:t xml:space="preserve"> </w:t>
      </w:r>
      <w:r>
        <w:t xml:space="preserve">precisely. Clarify whether this implies a continuum of firms/jobs.</w:t>
      </w:r>
      <w:r>
        <w:t xml:space="preserve"> </w:t>
      </w:r>
      <w:r>
        <w:rPr>
          <w:i/>
          <w:iCs/>
        </w:rPr>
        <w:t xml:space="preserve">(Editor; R2 §1c)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Clarify the assertion about Poisson distribution at each firm.</w:t>
      </w:r>
      <w:r>
        <w:t xml:space="preserve"> </w:t>
      </w:r>
      <w:r>
        <w:rPr>
          <w:i/>
          <w:iCs/>
        </w:rPr>
        <w:t xml:space="preserve">(R2 §1c)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Introduce</w:t>
      </w:r>
      <w:r>
        <w:t xml:space="preserve"> </w:t>
      </w:r>
      <w:r>
        <w:rPr>
          <w:b/>
          <w:bCs/>
        </w:rPr>
        <w:t xml:space="preserve">truthtelling</w:t>
      </w:r>
      <w:r>
        <w:t xml:space="preserve"> </w:t>
      </w:r>
      <w:r>
        <w:t xml:space="preserve">explicitly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Proposition 1 (consider moving the truthtelling subsection earlier).</w:t>
      </w:r>
      <w:r>
        <w:t xml:space="preserve"> </w:t>
      </w:r>
      <w:r>
        <w:rPr>
          <w:i/>
          <w:iCs/>
        </w:rPr>
        <w:t xml:space="preserve">(Editor; R2 §1d)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State the truthtelling assumption consistently: reconcile the intro’s</w:t>
      </w:r>
      <w:r>
        <w:t xml:space="preserve"> </w:t>
      </w:r>
      <w:r>
        <w:t xml:space="preserve">“behavioral plausibility”</w:t>
      </w:r>
      <w:r>
        <w:t xml:space="preserve"> </w:t>
      </w:r>
      <w:r>
        <w:t xml:space="preserve">framing with the main text’s</w:t>
      </w:r>
      <w:r>
        <w:t xml:space="preserve"> </w:t>
      </w:r>
      <w:r>
        <w:t xml:space="preserve">“imposed assumption”</w:t>
      </w:r>
      <w:r>
        <w:t xml:space="preserve"> </w:t>
      </w:r>
      <w:r>
        <w:t xml:space="preserve">framing.</w:t>
      </w:r>
      <w:r>
        <w:t xml:space="preserve"> </w:t>
      </w:r>
      <w:r>
        <w:rPr>
          <w:i/>
          <w:iCs/>
        </w:rPr>
        <w:t xml:space="preserve">(R2 §2c)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Peyman margin:</w:t>
      </w:r>
      <w:r>
        <w:rPr>
          <w:i/>
          <w:iCs/>
        </w:rPr>
        <w:t xml:space="preserve"> </w:t>
      </w:r>
      <w:r>
        <w:rPr>
          <w:i/>
          <w:iCs/>
        </w:rPr>
        <w:t xml:space="preserve">“??”</w:t>
      </w:r>
      <w:r>
        <w:rPr>
          <w:i/>
          <w:iCs/>
        </w:rPr>
        <w:t xml:space="preserve">, may need coauthor check before final wording.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Clarify whether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bounded or unbounded at market entry.</w:t>
      </w:r>
      <w:r>
        <w:t xml:space="preserve"> </w:t>
      </w:r>
      <w:r>
        <w:rPr>
          <w:i/>
          <w:iCs/>
        </w:rPr>
        <w:t xml:space="preserve">(R2 smaller comments)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Peyman’s margin note on this editor point (1c):</w:t>
      </w:r>
      <w:r>
        <w:rPr>
          <w:i/>
          <w:iCs/>
        </w:rPr>
        <w:t xml:space="preserve"> </w:t>
      </w:r>
      <w:r>
        <w:rPr>
          <w:i/>
          <w:iCs/>
        </w:rPr>
        <w:t xml:space="preserve">“See model again”</w:t>
      </w:r>
      <w:r>
        <w:rPr>
          <w:i/>
          <w:iCs/>
        </w:rPr>
        <w:t xml:space="preserve"> </w:t>
      </w:r>
      <w:r>
        <w:rPr>
          <w:i/>
          <w:iCs/>
        </w:rPr>
        <w:t xml:space="preserve">— requires a careful re-read of the model before actioning.</w:t>
      </w:r>
    </w:p>
    <w:bookmarkEnd w:id="16"/>
    <w:bookmarkStart w:id="17" w:name="d.-reconcile-the-two-signals-s₁-s₂-ψ₁-ψ₂"/>
    <w:p>
      <w:pPr>
        <w:pStyle w:val="Heading4"/>
      </w:pPr>
      <w:r>
        <w:t xml:space="preserve">1d. Reconcile the two signals (s₁, s₂ / ψ₁, ψ₂)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[Peyman]</w:t>
      </w:r>
      <w:r>
        <w:t xml:space="preserve"> </w:t>
      </w:r>
      <w:r>
        <w:rPr>
          <w:b/>
          <w:bCs/>
        </w:rPr>
        <w:t xml:space="preserve">(↓ RELOCATED)</w:t>
      </w:r>
      <w:r>
        <w:t xml:space="preserve"> </w:t>
      </w:r>
      <w:r>
        <w:t xml:space="preserve">Both signals now discussed in the appendix per meeting decision A.2.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[Coauthors]</w:t>
      </w:r>
      <w:r>
        <w:t xml:space="preserve"> </w:t>
      </w:r>
      <w:r>
        <w:rPr>
          <w:b/>
          <w:bCs/>
        </w:rPr>
        <w:t xml:space="preserve">Key inconsistency: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nearly perfectly revealing, cheap-talk wage effects should vanish — yet the model and data both show non-trivial wage effects. Either explain why this is not a contradiction, or revise the model. This is the big conceptual critique (R2 §3).</w:t>
      </w:r>
      <w:r>
        <w:t xml:space="preserve"> </w:t>
      </w:r>
      <w:r>
        <w:rPr>
          <w:i/>
          <w:iCs/>
        </w:rPr>
        <w:t xml:space="preserve">(Editor; R2 §3)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Peyman margin:</w:t>
      </w:r>
      <w:r>
        <w:rPr>
          <w:i/>
          <w:iCs/>
        </w:rPr>
        <w:t xml:space="preserve"> </w:t>
      </w:r>
      <w:r>
        <w:rPr>
          <w:i/>
          <w:iCs/>
        </w:rPr>
        <w:t xml:space="preserve">“?”</w:t>
      </w:r>
      <w:r>
        <w:rPr>
          <w:i/>
          <w:iCs/>
        </w:rPr>
        <w:t xml:space="preserve">. Peyman can draft options, but the intellectual call is for coauthors.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Clarify</w:t>
      </w:r>
      <w:r>
        <w:t xml:space="preserve"> </w:t>
      </w: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 needed</w:t>
      </w:r>
      <w:r>
        <w:t xml:space="preserve">. If its role is only to generate sorting without cheap talk, consider dropping it.</w:t>
      </w:r>
      <w:r>
        <w:t xml:space="preserve"> </w:t>
      </w:r>
      <w:r>
        <w:rPr>
          <w:i/>
          <w:iCs/>
        </w:rPr>
        <w:t xml:space="preserve">(Editor)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In the appendix, present cleanly: what the model predicts about wages with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vs. </w:t>
      </w:r>
      <m:oMath>
        <m:sSub>
          <m:e>
            <m:r>
              <m:t>ψ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 and how the observed wage effects are rationalized. One crisp paragraph.</w:t>
      </w:r>
      <w:r>
        <w:t xml:space="preserve"> </w:t>
      </w:r>
      <w:r>
        <w:rPr>
          <w:i/>
          <w:iCs/>
        </w:rPr>
        <w:t xml:space="preserve">(Meeting line:</w:t>
      </w:r>
      <w:r>
        <w:rPr>
          <w:i/>
          <w:iCs/>
        </w:rPr>
        <w:t xml:space="preserve"> </w:t>
      </w:r>
      <w:r>
        <w:rPr>
          <w:i/>
          <w:iCs/>
        </w:rPr>
        <w:t xml:space="preserve">“We probably need one clean paragraph explaining why near-perfect information at the bidding stage doesn’t kill wage effects.”</w:t>
      </w:r>
      <w:r>
        <w:rPr>
          <w:i/>
          <w:iCs/>
        </w:rPr>
        <w:t xml:space="preserve">)</w:t>
      </w:r>
      <w:r>
        <w:t xml:space="preserve"> </w:t>
      </w:r>
      <w:r>
        <w:t xml:space="preserve">— draft by Peyman, final content from coauthors.</w:t>
      </w:r>
    </w:p>
    <w:bookmarkEnd w:id="17"/>
    <w:bookmarkStart w:id="18" w:name="Xac44516c5048fee423e96663bac439262e526ca"/>
    <w:p>
      <w:pPr>
        <w:pStyle w:val="Heading4"/>
      </w:pPr>
      <w:r>
        <w:t xml:space="preserve">1e. Reorganize so the body + printed appendix are self-contained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A reader should not need body + printed appendix + online appendix to follow Proposition 1.</w:t>
      </w:r>
      <w:r>
        <w:t xml:space="preserve"> </w:t>
      </w:r>
      <w:r>
        <w:rPr>
          <w:i/>
          <w:iCs/>
        </w:rPr>
        <w:t xml:space="preserve">(Editor; R2 §1e)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AEJ Micro has only two appendix types — main (in-print) and supplementary. Restructure the current version’s</w:t>
      </w:r>
      <w:r>
        <w:t xml:space="preserve"> </w:t>
      </w:r>
      <w:r>
        <w:t xml:space="preserve">“Online Appendix”</w:t>
      </w:r>
      <w:r>
        <w:t xml:space="preserve"> </w:t>
      </w:r>
      <w:r>
        <w:t xml:space="preserve">into these two categories.</w:t>
      </w:r>
      <w:r>
        <w:t xml:space="preserve"> </w:t>
      </w:r>
      <w:r>
        <w:rPr>
          <w:i/>
          <w:iCs/>
        </w:rPr>
        <w:t xml:space="preserve">(Editor)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Improve the graphical intuition in the main appendix — currently hard to follow.</w:t>
      </w:r>
      <w:r>
        <w:t xml:space="preserve"> </w:t>
      </w:r>
      <w:r>
        <w:rPr>
          <w:i/>
          <w:iCs/>
        </w:rPr>
        <w:t xml:space="preserve">(Editor)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Verify the supplementary/online appendix is actually included with the resubmission — editor could not locate it last time.</w:t>
      </w:r>
      <w:r>
        <w:t xml:space="preserve"> </w:t>
      </w:r>
      <w:r>
        <w:rPr>
          <w:i/>
          <w:iCs/>
        </w:rPr>
        <w:t xml:space="preserve">(Editor)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Check page-length guideline compliance before resubmission.</w:t>
      </w:r>
      <w:r>
        <w:t xml:space="preserve"> </w:t>
      </w:r>
      <w:r>
        <w:rPr>
          <w:i/>
          <w:iCs/>
        </w:rPr>
        <w:t xml:space="preserve">(Editor)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8ba0e0def76147b9254608b5a218b3608ff7284"/>
    <w:p>
      <w:pPr>
        <w:pStyle w:val="Heading3"/>
      </w:pPr>
      <w:r>
        <w:t xml:space="preserve">2. Framing &amp; Literature Positioning (HIGH PRIORITY)</w:t>
      </w:r>
      <w:r>
        <w:t xml:space="preserve"> </w:t>
      </w:r>
      <w:r>
        <w:rPr>
          <w:rStyle w:val="VerbatimChar"/>
        </w:rPr>
        <w:t xml:space="preserve">[Coauthors primary, Peyman drafts]</w:t>
      </w:r>
    </w:p>
    <w:p>
      <w:pPr>
        <w:pStyle w:val="FirstParagraph"/>
      </w:pPr>
      <w:r>
        <w:t xml:space="preserve">Framing requires author-level judgment. Peyman drafts candidate text but the positioning calls route through coauthors.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[Coauthors]</w:t>
      </w:r>
      <w:r>
        <w:t xml:space="preserve"> </w:t>
      </w:r>
      <w:r>
        <w:rPr>
          <w:b/>
          <w:bCs/>
        </w:rPr>
        <w:t xml:space="preserve">Engage Backus, Blake &amp; Tadelis (2019, JPE)</w:t>
      </w:r>
      <w:r>
        <w:t xml:space="preserve"> </w:t>
      </w:r>
      <w:r>
        <w:t xml:space="preserve">— outline how this paper’s empirical evidence comports with their framework.</w:t>
      </w:r>
      <w:r>
        <w:t xml:space="preserve"> </w:t>
      </w:r>
      <w:r>
        <w:rPr>
          <w:i/>
          <w:iCs/>
        </w:rPr>
        <w:t xml:space="preserve">(R3 §1; Editor)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Peyman highlighted in yellow on R3.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[Coauthors]</w:t>
      </w:r>
      <w:r>
        <w:t xml:space="preserve"> </w:t>
      </w:r>
      <w:r>
        <w:t xml:space="preserve">Refine discussion of</w:t>
      </w:r>
      <w:r>
        <w:t xml:space="preserve"> </w:t>
      </w:r>
      <w:r>
        <w:rPr>
          <w:b/>
          <w:bCs/>
        </w:rPr>
        <w:t xml:space="preserve">Tadelis &amp; Zettelmeyer (2015)</w:t>
      </w:r>
      <w:r>
        <w:t xml:space="preserve">: distinguish linkage-principle (not IC) from this paper’s IC cheap-talk mechanism.</w:t>
      </w:r>
      <w:r>
        <w:t xml:space="preserve"> </w:t>
      </w:r>
      <w:r>
        <w:rPr>
          <w:i/>
          <w:iCs/>
        </w:rPr>
        <w:t xml:space="preserve">(R3 §1)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[Coauthors]</w:t>
      </w:r>
      <w:r>
        <w:t xml:space="preserve"> </w:t>
      </w:r>
      <w:r>
        <w:t xml:space="preserve">Add discussion of the</w:t>
      </w:r>
      <w:r>
        <w:t xml:space="preserve"> </w:t>
      </w:r>
      <w:r>
        <w:rPr>
          <w:b/>
          <w:bCs/>
        </w:rPr>
        <w:t xml:space="preserve">garbling device</w:t>
      </w:r>
      <w:r>
        <w:t xml:space="preserve"> </w:t>
      </w:r>
      <w:r>
        <w:t xml:space="preserve">(probabilistic revelation arm) — cite Backus et al. (2019) and</w:t>
      </w:r>
      <w:r>
        <w:t xml:space="preserve"> </w:t>
      </w:r>
      <w:r>
        <w:rPr>
          <w:b/>
          <w:bCs/>
        </w:rPr>
        <w:t xml:space="preserve">Ambrus, Chaney &amp; Salitskiy (2018, QE)</w:t>
      </w:r>
      <w:r>
        <w:t xml:space="preserve">.</w:t>
      </w:r>
      <w:r>
        <w:t xml:space="preserve"> </w:t>
      </w:r>
      <w:r>
        <w:rPr>
          <w:i/>
          <w:iCs/>
        </w:rPr>
        <w:t xml:space="preserve">(R3 §3)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Draft text for:</w:t>
      </w:r>
      <w:r>
        <w:t xml:space="preserve"> </w:t>
      </w:r>
      <w:r>
        <w:t xml:space="preserve">“market”</w:t>
      </w:r>
      <w:r>
        <w:t xml:space="preserve"> </w:t>
      </w:r>
      <w:r>
        <w:t xml:space="preserve">vs. </w:t>
      </w:r>
      <w:r>
        <w:t xml:space="preserve">“marketplace”</w:t>
      </w:r>
      <w:r>
        <w:t xml:space="preserve"> </w:t>
      </w:r>
      <w:r>
        <w:t xml:space="preserve">distinction on p. 18 (Roth 2018).</w:t>
      </w:r>
      <w:r>
        <w:t xml:space="preserve"> </w:t>
      </w:r>
      <w:r>
        <w:rPr>
          <w:i/>
          <w:iCs/>
        </w:rPr>
        <w:t xml:space="preserve">(R3 §2)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[Coauthors]</w:t>
      </w:r>
      <w:r>
        <w:t xml:space="preserve"> </w:t>
      </w:r>
      <w:r>
        <w:t xml:space="preserve">Add connection to</w:t>
      </w:r>
      <w:r>
        <w:t xml:space="preserve"> </w:t>
      </w:r>
      <w:r>
        <w:rPr>
          <w:b/>
          <w:bCs/>
        </w:rPr>
        <w:t xml:space="preserve">costly-signaling / credible-communication in labor markets</w:t>
      </w:r>
      <w:r>
        <w:t xml:space="preserve"> </w:t>
      </w:r>
      <w:r>
        <w:t xml:space="preserve">literature.</w:t>
      </w:r>
      <w:r>
        <w:t xml:space="preserve"> </w:t>
      </w:r>
      <w:r>
        <w:rPr>
          <w:i/>
          <w:iCs/>
        </w:rPr>
        <w:t xml:space="preserve">(Editor)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Draft text for:</w:t>
      </w:r>
      <w:r>
        <w:t xml:space="preserve"> </w:t>
      </w:r>
      <w:r>
        <w:rPr>
          <w:b/>
          <w:bCs/>
        </w:rPr>
        <w:t xml:space="preserve">preferences-for-truthtelling-without-incentives</w:t>
      </w:r>
      <w:r>
        <w:t xml:space="preserve"> </w:t>
      </w:r>
      <w:r>
        <w:t xml:space="preserve">literature (Kartik 2009; Abeler et al. 2019). Peyman can add the citations and a paragraph; coauthors finalize framing.</w:t>
      </w:r>
      <w:r>
        <w:t xml:space="preserve"> </w:t>
      </w:r>
      <w:r>
        <w:rPr>
          <w:i/>
          <w:iCs/>
        </w:rPr>
        <w:t xml:space="preserve">(Editor, Additional comment 4)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Fix introduction claim</w:t>
      </w:r>
      <w:r>
        <w:t xml:space="preserve"> </w:t>
      </w:r>
      <w:r>
        <w:t xml:space="preserve">“lack of incentives makes truth-telling a focal point”</w:t>
      </w:r>
      <w:r>
        <w:t xml:space="preserve"> </w:t>
      </w:r>
      <w:r>
        <w:t xml:space="preserve">— add evidence or the above citations.</w:t>
      </w:r>
      <w:r>
        <w:t xml:space="preserve"> </w:t>
      </w:r>
      <w:r>
        <w:rPr>
          <w:i/>
          <w:iCs/>
        </w:rPr>
        <w:t xml:space="preserve">(Editor, Additional comment 4)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Clean up citation style: last paragraph of p. 2, and p. 6 Tadelis &amp; Zettelmeyer reference — ambiguous whether citations refer to same labor market.</w:t>
      </w:r>
      <w:r>
        <w:t xml:space="preserve"> </w:t>
      </w:r>
      <w:r>
        <w:rPr>
          <w:i/>
          <w:iCs/>
        </w:rPr>
        <w:t xml:space="preserve">(R2 smaller comments)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p. 2 style: don’t call a 2007 paper</w:t>
      </w:r>
      <w:r>
        <w:t xml:space="preserve"> </w:t>
      </w:r>
      <w:r>
        <w:t xml:space="preserve">“recent”</w:t>
      </w:r>
      <w:r>
        <w:t xml:space="preserve">; move the mid-sentence Horton (2010) reference.</w:t>
      </w:r>
      <w:r>
        <w:t xml:space="preserve"> </w:t>
      </w:r>
      <w:r>
        <w:rPr>
          <w:i/>
          <w:iCs/>
        </w:rPr>
        <w:t xml:space="preserve">(Editor)</w:t>
      </w:r>
    </w:p>
    <w:p>
      <w:r>
        <w:pict>
          <v:rect style="width:0;height:1.5pt" o:hralign="center" o:hrstd="t" o:hr="t"/>
        </w:pict>
      </w:r>
    </w:p>
    <w:bookmarkEnd w:id="20"/>
    <w:bookmarkStart w:id="21" w:name="X270249c712577806d8aa59cc2617922400f7c8c"/>
    <w:p>
      <w:pPr>
        <w:pStyle w:val="Heading3"/>
      </w:pPr>
      <w:r>
        <w:t xml:space="preserve">3. Truthtelling — Role, Test, and Consistency</w:t>
      </w:r>
      <w:r>
        <w:t xml:space="preserve"> </w:t>
      </w:r>
      <w:r>
        <w:rPr>
          <w:rStyle w:val="VerbatimChar"/>
        </w:rPr>
        <w:t xml:space="preserve">[Peyman]</w:t>
      </w:r>
    </w:p>
    <w:p>
      <w:pPr>
        <w:pStyle w:val="FirstParagraph"/>
      </w:pPr>
      <w:r>
        <w:t xml:space="preserve">The three items Peyman took ownership of during the meeting (margin note:</w:t>
      </w:r>
      <w:r>
        <w:t xml:space="preserve"> </w:t>
      </w:r>
      <w:r>
        <w:t xml:space="preserve">“3 to do Peyman”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[Peyman]</w:t>
      </w:r>
      <w:r>
        <w:t xml:space="preserve"> </w:t>
      </w:r>
      <w:r>
        <w:rPr>
          <w:b/>
          <w:bCs/>
        </w:rPr>
        <w:t xml:space="preserve">Emphasize that model predictions validated by data provide additional support</w:t>
      </w:r>
      <w:r>
        <w:t xml:space="preserve"> </w:t>
      </w:r>
      <w:r>
        <w:t xml:space="preserve">for the truthtelling assumption.</w:t>
      </w:r>
      <w:r>
        <w:t xml:space="preserve"> </w:t>
      </w:r>
      <w:r>
        <w:rPr>
          <w:i/>
          <w:iCs/>
        </w:rPr>
        <w:t xml:space="preserve">(R2 §2a)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Peyman margin:</w:t>
      </w:r>
      <w:r>
        <w:rPr>
          <w:i/>
          <w:iCs/>
        </w:rPr>
        <w:t xml:space="preserve"> </w:t>
      </w:r>
      <w:r>
        <w:rPr>
          <w:i/>
          <w:iCs/>
        </w:rPr>
        <w:t xml:space="preserve">“Nice! Can do”</w:t>
      </w:r>
      <w:r>
        <w:rPr>
          <w:i/>
          <w:iCs/>
        </w:rPr>
        <w:t xml:space="preserve"> </w:t>
      </w:r>
      <w:r>
        <w:rPr>
          <w:i/>
          <w:iCs/>
        </w:rPr>
        <w:t xml:space="preserve">— clearest.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[Peyman]</w:t>
      </w:r>
      <w:r>
        <w:t xml:space="preserve"> </w:t>
      </w:r>
      <w:r>
        <w:rPr>
          <w:b/>
          <w:bCs/>
        </w:rPr>
        <w:t xml:space="preserve">Explain the pooling choice consistently</w:t>
      </w:r>
      <w:r>
        <w:t xml:space="preserve"> </w:t>
      </w:r>
      <w:r>
        <w:t xml:space="preserve">across Figure 1, Figure 4, and Section V.E.</w:t>
      </w:r>
      <w:r>
        <w:t xml:space="preserve"> </w:t>
      </w:r>
      <w:r>
        <w:rPr>
          <w:i/>
          <w:iCs/>
        </w:rPr>
        <w:t xml:space="preserve">(R2 §2b)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Peyman margin:</w:t>
      </w:r>
      <w:r>
        <w:rPr>
          <w:i/>
          <w:iCs/>
        </w:rPr>
        <w:t xml:space="preserve"> </w:t>
      </w:r>
      <w:r>
        <w:rPr>
          <w:i/>
          <w:iCs/>
        </w:rPr>
        <w:t xml:space="preserve">“?”</w:t>
      </w:r>
      <w:r>
        <w:rPr>
          <w:i/>
          <w:iCs/>
        </w:rPr>
        <w:t xml:space="preserve"> </w:t>
      </w:r>
      <w:r>
        <w:rPr>
          <w:i/>
          <w:iCs/>
        </w:rPr>
        <w:t xml:space="preserve">— needs careful thought.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[Peyman]</w:t>
      </w:r>
      <w:r>
        <w:t xml:space="preserve"> </w:t>
      </w:r>
      <w:r>
        <w:rPr>
          <w:b/>
          <w:bCs/>
        </w:rPr>
        <w:t xml:space="preserve">State the truthtelling assumption more explicitly and uniformly</w:t>
      </w:r>
      <w:r>
        <w:t xml:space="preserve"> </w:t>
      </w:r>
      <w:r>
        <w:t xml:space="preserve">between intro and main text.</w:t>
      </w:r>
      <w:r>
        <w:t xml:space="preserve"> </w:t>
      </w:r>
      <w:r>
        <w:rPr>
          <w:i/>
          <w:iCs/>
        </w:rPr>
        <w:t xml:space="preserve">(R2 §2c)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Peyman margin:</w:t>
      </w:r>
      <w:r>
        <w:rPr>
          <w:i/>
          <w:iCs/>
        </w:rPr>
        <w:t xml:space="preserve"> </w:t>
      </w:r>
      <w:r>
        <w:rPr>
          <w:i/>
          <w:iCs/>
        </w:rPr>
        <w:t xml:space="preserve">“??”</w:t>
      </w:r>
      <w:r>
        <w:rPr>
          <w:i/>
          <w:iCs/>
        </w:rPr>
        <w:t xml:space="preserve"> </w:t>
      </w:r>
      <w:r>
        <w:rPr>
          <w:i/>
          <w:iCs/>
        </w:rPr>
        <w:t xml:space="preserve">— most uncertain; consider coauthor check before finalizing wording.</w:t>
      </w:r>
    </w:p>
    <w:p>
      <w:pPr>
        <w:pStyle w:val="FirstParagraph"/>
      </w:pPr>
      <w:r>
        <w:t xml:space="preserve">Supporting guidance (GPT memo Theme 3 / Roadmap item 3): be explicit about whether truthtelling is (i) an equilibrium outcome, (ii) an empirical assumption for the experiment, or (iii) supported by behavioral preferences. Peyman’s meeting line:</w:t>
      </w:r>
      <w:r>
        <w:t xml:space="preserve"> </w:t>
      </w:r>
      <w:r>
        <w:rPr>
          <w:i/>
          <w:iCs/>
        </w:rPr>
        <w:t xml:space="preserve">“Right now [truthtelling is] doing theoretical, empirical, and behavioral work implicitly — we should pick.”</w:t>
      </w:r>
    </w:p>
    <w:p>
      <w:r>
        <w:pict>
          <v:rect style="width:0;height:1.5pt" o:hralign="center" o:hrstd="t" o:hr="t"/>
        </w:pict>
      </w:r>
    </w:p>
    <w:bookmarkEnd w:id="21"/>
    <w:bookmarkStart w:id="22" w:name="X204c8baec4c7583fb50b11327b19fbaf9b77c39"/>
    <w:p>
      <w:pPr>
        <w:pStyle w:val="Heading3"/>
      </w:pPr>
      <w:r>
        <w:t xml:space="preserve">4. Wage Determination (Editor Additional Comment 3)</w:t>
      </w:r>
      <w:r>
        <w:t xml:space="preserve"> </w:t>
      </w:r>
      <w:r>
        <w:rPr>
          <w:rStyle w:val="VerbatimChar"/>
        </w:rPr>
        <w:t xml:space="preserve">[Coauthors]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[Coauthors]</w:t>
      </w:r>
      <w:r>
        <w:t xml:space="preserve"> </w:t>
      </w:r>
      <w:r>
        <w:t xml:space="preserve">Justify</w:t>
      </w:r>
      <w:r>
        <w:t xml:space="preserve"> </w:t>
      </w:r>
      <w:r>
        <w:t xml:space="preserve">“firm pays the demanded wage”</w:t>
      </w:r>
      <w:r>
        <w:t xml:space="preserve"> </w:t>
      </w:r>
      <w:r>
        <w:t xml:space="preserve">as platform reality. Is this realistic? Could bargaining happen off-platform? How would that affect the analysis?</w:t>
      </w:r>
      <w:r>
        <w:t xml:space="preserve"> </w:t>
      </w:r>
      <w:r>
        <w:rPr>
          <w:i/>
          <w:iCs/>
        </w:rPr>
        <w:t xml:space="preserve">(Editor)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Peyman margin: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“More substantial point, not me.”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[Coauthors]</w:t>
      </w:r>
      <w:r>
        <w:t xml:space="preserve"> </w:t>
      </w:r>
      <w:r>
        <w:t xml:space="preserve">Per GPT roadmap item 5: consider a short institutional / robustness paragraph defending</w:t>
      </w:r>
      <w:r>
        <w:t xml:space="preserve"> </w:t>
      </w:r>
      <w:r>
        <w:t xml:space="preserve">“firm pays the bid”</w:t>
      </w:r>
      <w:r>
        <w:t xml:space="preserve"> </w:t>
      </w:r>
      <w:r>
        <w:t xml:space="preserve">and discussing limits to off-platform bargaining and renegotiation.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[Coauthors]</w:t>
      </w:r>
      <w:r>
        <w:t xml:space="preserve"> </w:t>
      </w:r>
      <w:r>
        <w:rPr>
          <w:b/>
          <w:bCs/>
        </w:rPr>
        <w:t xml:space="preserve">Surplus vs. wages (p. 34):</w:t>
      </w:r>
      <w:r>
        <w:t xml:space="preserve"> </w:t>
      </w:r>
      <w:r>
        <w:t xml:space="preserve">if outside-option data exist, consider studying surplus rather than wages.</w:t>
      </w:r>
      <w:r>
        <w:t xml:space="preserve"> </w:t>
      </w:r>
      <w:r>
        <w:rPr>
          <w:i/>
          <w:iCs/>
        </w:rPr>
        <w:t xml:space="preserve">(R2 smaller comments)</w:t>
      </w:r>
    </w:p>
    <w:p>
      <w:r>
        <w:pict>
          <v:rect style="width:0;height:1.5pt" o:hralign="center" o:hrstd="t" o:hr="t"/>
        </w:pict>
      </w:r>
    </w:p>
    <w:bookmarkEnd w:id="22"/>
    <w:bookmarkStart w:id="25" w:name="Xb8bcae9b3575956e351c4ee733481da87f07138"/>
    <w:p>
      <w:pPr>
        <w:pStyle w:val="Heading3"/>
      </w:pPr>
      <w:r>
        <w:t xml:space="preserve">5. Page-by-Page Minor Items</w:t>
      </w:r>
      <w:r>
        <w:t xml:space="preserve"> </w:t>
      </w:r>
      <w:r>
        <w:rPr>
          <w:rStyle w:val="VerbatimChar"/>
        </w:rPr>
        <w:t xml:space="preserve">[Peyman]</w:t>
      </w:r>
      <w:r>
        <w:t xml:space="preserve"> </w:t>
      </w:r>
      <w:r>
        <w:t xml:space="preserve">(empirics pass reviewed by</w:t>
      </w:r>
      <w:r>
        <w:t xml:space="preserve"> </w:t>
      </w:r>
      <w:r>
        <w:rPr>
          <w:rStyle w:val="VerbatimChar"/>
        </w:rPr>
        <w:t xml:space="preserve">[John-review]</w:t>
      </w:r>
      <w:r>
        <w:t xml:space="preserve">)</w:t>
      </w:r>
    </w:p>
    <w:p>
      <w:pPr>
        <w:pStyle w:val="FirstParagraph"/>
      </w:pPr>
      <w:r>
        <w:t xml:space="preserve">Items in the model section (pp. 8–15) may be moot once the body is rewritten from the PK backup — flag for the cleanup pass.</w:t>
      </w:r>
    </w:p>
    <w:bookmarkStart w:id="23" w:name="X723cee12dfe840b3f7c0e1ddd6d0c7e1146b470"/>
    <w:p>
      <w:pPr>
        <w:pStyle w:val="Heading4"/>
      </w:pPr>
      <w:r>
        <w:t xml:space="preserve">Model section (pp. 8–15) — may be subsumed by the model rewrite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p. 8: drop repeated</w:t>
      </w:r>
      <w:r>
        <w:t xml:space="preserve"> </w:t>
      </w:r>
      <w:r>
        <w:t xml:space="preserve">“salient”</w:t>
      </w:r>
      <w:r>
        <w:t xml:space="preserve"> </w:t>
      </w:r>
      <w:r>
        <w:t xml:space="preserve">in line 2 of Section III. Cut standard point (2). Cut or rephrase first part of point (3).</w:t>
      </w:r>
      <w:r>
        <w:t xml:space="preserve"> </w:t>
      </w:r>
      <w:r>
        <w:rPr>
          <w:i/>
          <w:iCs/>
        </w:rPr>
        <w:t xml:space="preserve">(Editor)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p. 9: clarify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nonnegative real; define subscript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(consider lowercase</w:t>
      </w:r>
      <w:r>
        <w:t xml:space="preserve"> </w:t>
      </w:r>
      <m:oMath>
        <m:r>
          <m:t>t</m:t>
        </m:r>
      </m:oMath>
      <w:r>
        <w:t xml:space="preserve">); replace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(for probability) with</w:t>
      </w:r>
      <w:r>
        <w:t xml:space="preserve"> </w:t>
      </w:r>
      <m:oMath>
        <m:r>
          <m:t>p</m:t>
        </m:r>
      </m:oMath>
      <w:r>
        <w:t xml:space="preserve">; clarify</w:t>
      </w:r>
      <w:r>
        <w:t xml:space="preserve"> </w:t>
      </w:r>
      <w:r>
        <w:t xml:space="preserve">“in principle firms could have…”</w:t>
      </w:r>
      <w:r>
        <w:t xml:space="preserve"> </w:t>
      </w:r>
      <w:r>
        <w:rPr>
          <w:i/>
          <w:iCs/>
        </w:rPr>
        <w:t xml:space="preserve">(Editor)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p. 10: workers care only about wages — does that imply no disutility from more difficult jobs?</w:t>
      </w:r>
      <w:r>
        <w:t xml:space="preserve"> </w:t>
      </w:r>
      <w:r>
        <w:rPr>
          <w:i/>
          <w:iCs/>
        </w:rPr>
        <w:t xml:space="preserve">(Editor)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p. 10 (bottom): properly introduce</w:t>
      </w:r>
      <w:r>
        <w:t xml:space="preserve"> </w:t>
      </w:r>
      <w:r>
        <w:t xml:space="preserve">“multiple exogenous signals”</w:t>
      </w:r>
      <w:r>
        <w:t xml:space="preserve"> </w:t>
      </w:r>
      <w:r>
        <w:t xml:space="preserve">(currently appear without prior intro). Same for outside-options paragraph.</w:t>
      </w:r>
      <w:r>
        <w:t xml:space="preserve"> </w:t>
      </w:r>
      <w:r>
        <w:rPr>
          <w:i/>
          <w:iCs/>
        </w:rPr>
        <w:t xml:space="preserve">(R2 §1b)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p. 11: define</w:t>
      </w:r>
      <w:r>
        <w:t xml:space="preserve"> </w:t>
      </w:r>
      <w:r>
        <w:t xml:space="preserve">“large market”</w:t>
      </w:r>
      <w:r>
        <w:t xml:space="preserve"> </w:t>
      </w:r>
      <w:r>
        <w:t xml:space="preserve">(see §1c). Trim footnote 8 citations. Change</w:t>
      </w:r>
      <w:r>
        <w:t xml:space="preserve"> </w:t>
      </w:r>
      <w:r>
        <w:t xml:space="preserve">“can reject”</w:t>
      </w:r>
      <w:r>
        <w:t xml:space="preserve"> </w:t>
      </w:r>
      <w:r>
        <w:t xml:space="preserve">→</w:t>
      </w:r>
      <w:r>
        <w:t xml:space="preserve"> </w:t>
      </w:r>
      <w:r>
        <w:t xml:space="preserve">“rejects.”</w:t>
      </w:r>
      <w:r>
        <w:t xml:space="preserve"> </w:t>
      </w:r>
      <w:r>
        <w:rPr>
          <w:i/>
          <w:iCs/>
        </w:rPr>
        <w:t xml:space="preserve">(Editor)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p. 12:</w:t>
      </w:r>
      <w:r>
        <w:t xml:space="preserve"> </w:t>
      </w:r>
      <w:r>
        <w:t xml:space="preserve">“Message off-equilibrium”</w:t>
      </w:r>
      <w:r>
        <w:t xml:space="preserve"> </w:t>
      </w:r>
      <w:r>
        <w:t xml:space="preserve">→</w:t>
      </w:r>
      <w:r>
        <w:t xml:space="preserve"> </w:t>
      </w:r>
      <w:r>
        <w:t xml:space="preserve">“message off the equilibrium path.”</w:t>
      </w:r>
      <w:r>
        <w:t xml:space="preserve"> </w:t>
      </w:r>
      <w:r>
        <w:t xml:space="preserve">Fix missing right bracket in footnote 11. Use</w:t>
      </w:r>
      <w:r>
        <w:t xml:space="preserve"> </w:t>
      </w:r>
      <w:r>
        <w:t xml:space="preserve">“:=”</w:t>
      </w:r>
      <w:r>
        <w:t xml:space="preserve"> </w:t>
      </w:r>
      <w:r>
        <w:t xml:space="preserve">consistently.</w:t>
      </w:r>
      <w:r>
        <w:t xml:space="preserve"> </w:t>
      </w:r>
      <w:r>
        <w:rPr>
          <w:i/>
          <w:iCs/>
        </w:rPr>
        <w:t xml:space="preserve">(Editor)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p. 13: clarify</w:t>
      </w:r>
      <w:r>
        <w:t xml:space="preserve"> </w:t>
      </w:r>
      <w:r>
        <w:t xml:space="preserve">“meaningful mass points.”</w:t>
      </w:r>
      <w:r>
        <w:t xml:space="preserve"> </w:t>
      </w:r>
      <w:r>
        <w:t xml:space="preserve">Trim repetition in Proposition 1’s first sentence.</w:t>
      </w:r>
      <w:r>
        <w:t xml:space="preserve"> </w:t>
      </w:r>
      <w:r>
        <w:rPr>
          <w:i/>
          <w:iCs/>
        </w:rPr>
        <w:t xml:space="preserve">(Editor)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p. 15: clarify whether</w:t>
      </w:r>
      <w:r>
        <w:t xml:space="preserve"> </w:t>
      </w:r>
      <w:r>
        <w:t xml:space="preserve">“generically fails”</w:t>
      </w:r>
      <w:r>
        <w:t xml:space="preserve"> </w:t>
      </w:r>
      <w:r>
        <w:t xml:space="preserve">is meant in a formal genericity sense.</w:t>
      </w:r>
      <w:r>
        <w:t xml:space="preserve"> </w:t>
      </w:r>
      <w:r>
        <w:rPr>
          <w:i/>
          <w:iCs/>
        </w:rPr>
        <w:t xml:space="preserve">(Editor)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Footnote 13:</w:t>
      </w:r>
      <w:r>
        <w:t xml:space="preserve"> </w:t>
      </w:r>
      <w:r>
        <w:t xml:space="preserve">“L/H/Medium”</w:t>
      </w:r>
      <w:r>
        <w:t xml:space="preserve"> </w:t>
      </w:r>
      <w:r>
        <w:t xml:space="preserve">inconsistent; use</w:t>
      </w:r>
      <w:r>
        <w:t xml:space="preserve"> </w:t>
      </w:r>
      <w:r>
        <w:t xml:space="preserve">“I”</w:t>
      </w:r>
      <w:r>
        <w:t xml:space="preserve"> </w:t>
      </w:r>
      <w:r>
        <w:t xml:space="preserve">for intermediate.</w:t>
      </w:r>
      <w:r>
        <w:t xml:space="preserve"> </w:t>
      </w:r>
      <w:r>
        <w:rPr>
          <w:i/>
          <w:iCs/>
        </w:rPr>
        <w:t xml:space="preserve">(Editor)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Proposition 1 terminology: standardize</w:t>
      </w:r>
      <w:r>
        <w:t xml:space="preserve"> </w:t>
      </w:r>
      <w:r>
        <w:t xml:space="preserve">“part”</w:t>
      </w:r>
      <w:r>
        <w:t xml:space="preserve"> </w:t>
      </w:r>
      <w:r>
        <w:t xml:space="preserve">/</w:t>
      </w:r>
      <w:r>
        <w:t xml:space="preserve"> </w:t>
      </w:r>
      <w:r>
        <w:t xml:space="preserve">“bullet”</w:t>
      </w:r>
      <w:r>
        <w:t xml:space="preserve"> </w:t>
      </w:r>
      <w:r>
        <w:t xml:space="preserve">/</w:t>
      </w:r>
      <w:r>
        <w:t xml:space="preserve"> </w:t>
      </w:r>
      <w:r>
        <w:t xml:space="preserve">“Part.”</w:t>
      </w:r>
      <w:r>
        <w:t xml:space="preserve"> </w:t>
      </w:r>
      <w:r>
        <w:rPr>
          <w:i/>
          <w:iCs/>
        </w:rPr>
        <w:t xml:space="preserve">(R2 smaller comments)</w:t>
      </w:r>
    </w:p>
    <w:bookmarkEnd w:id="23"/>
    <w:bookmarkStart w:id="24" w:name="Xb9c605646246f611f7365b801f3b30225808c8a"/>
    <w:p>
      <w:pPr>
        <w:pStyle w:val="Heading4"/>
      </w:pPr>
      <w:r>
        <w:t xml:space="preserve">Empirical / other sections — Peyman drafts,</w:t>
      </w:r>
      <w:r>
        <w:t xml:space="preserve"> </w:t>
      </w:r>
      <w:r>
        <w:rPr>
          <w:rStyle w:val="VerbatimChar"/>
          <w:b/>
          <w:bCs/>
        </w:rPr>
        <w:t xml:space="preserve">[John-review]</w:t>
      </w:r>
      <w:r>
        <w:t xml:space="preserve"> </w:t>
      </w:r>
      <w:r>
        <w:t xml:space="preserve">confirms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[John-review]</w:t>
      </w:r>
      <w:r>
        <w:t xml:space="preserve"> </w:t>
      </w:r>
      <w:r>
        <w:t xml:space="preserve">p. 3: clarify</w:t>
      </w:r>
      <w:r>
        <w:t xml:space="preserve"> </w:t>
      </w:r>
      <w:r>
        <w:t xml:space="preserve">“persists from partial to full market roll-out.”</w:t>
      </w:r>
      <w:r>
        <w:t xml:space="preserve"> </w:t>
      </w:r>
      <w:r>
        <w:rPr>
          <w:i/>
          <w:iCs/>
        </w:rPr>
        <w:t xml:space="preserve">(Editor)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[John-review]</w:t>
      </w:r>
      <w:r>
        <w:t xml:space="preserve"> </w:t>
      </w:r>
      <w:r>
        <w:t xml:space="preserve">p. 18: clarify which survey is being referred to at the top.</w:t>
      </w:r>
      <w:r>
        <w:t xml:space="preserve"> </w:t>
      </w:r>
      <w:r>
        <w:rPr>
          <w:i/>
          <w:iCs/>
        </w:rPr>
        <w:t xml:space="preserve">(R1)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[John-review]</w:t>
      </w:r>
      <w:r>
        <w:t xml:space="preserve"> </w:t>
      </w:r>
      <w:r>
        <w:t xml:space="preserve">p. 25: rewrite the first full sentence (</w:t>
      </w:r>
      <w:r>
        <w:t xml:space="preserve">“This simplification of the model…”</w:t>
      </w:r>
      <w:r>
        <w:t xml:space="preserve">).</w:t>
      </w:r>
      <w:r>
        <w:t xml:space="preserve"> </w:t>
      </w:r>
      <w:r>
        <w:rPr>
          <w:i/>
          <w:iCs/>
        </w:rPr>
        <w:t xml:space="preserve">(R2)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[John-review]</w:t>
      </w:r>
      <w:r>
        <w:t xml:space="preserve"> </w:t>
      </w:r>
      <w:r>
        <w:t xml:space="preserve">p. 26: keep</w:t>
      </w:r>
      <w:r>
        <w:t xml:space="preserve"> </w:t>
      </w:r>
      <w:r>
        <w:t xml:space="preserve">“prior cumulative earnings,”</w:t>
      </w:r>
      <w:r>
        <w:t xml:space="preserve"> </w:t>
      </w:r>
      <w:r>
        <w:t xml:space="preserve">don’t switch to</w:t>
      </w:r>
      <w:r>
        <w:t xml:space="preserve"> </w:t>
      </w:r>
      <w:r>
        <w:t xml:space="preserve">“experience.”</w:t>
      </w:r>
      <w:r>
        <w:t xml:space="preserve"> </w:t>
      </w:r>
      <w:r>
        <w:rPr>
          <w:i/>
          <w:iCs/>
        </w:rPr>
        <w:t xml:space="preserve">(R2)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[John-review]</w:t>
      </w:r>
      <w:r>
        <w:t xml:space="preserve"> </w:t>
      </w:r>
      <w:r>
        <w:t xml:space="preserve">p. 28: reorder Figure 5 panels to match text.</w:t>
      </w:r>
      <w:r>
        <w:t xml:space="preserve"> </w:t>
      </w:r>
      <w:r>
        <w:rPr>
          <w:i/>
          <w:iCs/>
        </w:rPr>
        <w:t xml:space="preserve">(R2)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Peyman highlighted in yellow.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[John-review]</w:t>
      </w:r>
      <w:r>
        <w:t xml:space="preserve"> </w:t>
      </w:r>
      <w:r>
        <w:t xml:space="preserve">p. 28: remove extra</w:t>
      </w:r>
      <w:r>
        <w:t xml:space="preserve"> </w:t>
      </w:r>
      <w:r>
        <w:t xml:space="preserve">“)”</w:t>
      </w:r>
      <w:r>
        <w:t xml:space="preserve"> </w:t>
      </w:r>
      <w:r>
        <w:t xml:space="preserve">after Figure 3 reference; fix sentence ending</w:t>
      </w:r>
      <w:r>
        <w:t xml:space="preserve"> </w:t>
      </w:r>
      <w:r>
        <w:t xml:space="preserve">“due in part to employers consider.”</w:t>
      </w:r>
      <w:r>
        <w:t xml:space="preserve"> </w:t>
      </w:r>
      <w:r>
        <w:rPr>
          <w:i/>
          <w:iCs/>
        </w:rPr>
        <w:t xml:space="preserve">(R2)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[Coauthors / TBD]</w:t>
      </w:r>
      <w:r>
        <w:t xml:space="preserve"> </w:t>
      </w:r>
      <w:r>
        <w:rPr>
          <w:b/>
          <w:bCs/>
        </w:rPr>
        <w:t xml:space="preserve">Section V.A</w:t>
      </w:r>
      <w:r>
        <w:t xml:space="preserve">: consider moving to Appendix (R3 explicitly suggests this). Structural call, not Peyman’s.</w:t>
      </w:r>
      <w:r>
        <w:t xml:space="preserve"> </w:t>
      </w:r>
      <w:r>
        <w:rPr>
          <w:i/>
          <w:iCs/>
        </w:rPr>
        <w:t xml:space="preserve">(R3)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821375f7f3c0c2e181a7df3d61c76f28a54ebf8"/>
    <w:p>
      <w:pPr>
        <w:pStyle w:val="Heading3"/>
      </w:pPr>
      <w:r>
        <w:t xml:space="preserve">6. Typos and Small Wording Fixes</w:t>
      </w:r>
      <w:r>
        <w:t xml:space="preserve"> </w:t>
      </w:r>
      <w:r>
        <w:rPr>
          <w:rStyle w:val="VerbatimChar"/>
        </w:rPr>
        <w:t xml:space="preserve">[Peyman]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[John-review]</w:t>
      </w:r>
      <w:r>
        <w:t xml:space="preserve"> </w:t>
      </w:r>
      <w:r>
        <w:t xml:space="preserve">at end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“compared to comparable”</w:t>
      </w:r>
      <w:r>
        <w:t xml:space="preserve"> </w:t>
      </w:r>
      <w:r>
        <w:rPr>
          <w:i/>
          <w:iCs/>
        </w:rPr>
        <w:t xml:space="preserve">(R1)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“less job applications”</w:t>
      </w:r>
      <w:r>
        <w:t xml:space="preserve"> </w:t>
      </w:r>
      <w:r>
        <w:t xml:space="preserve">→</w:t>
      </w:r>
      <w:r>
        <w:t xml:space="preserve"> </w:t>
      </w:r>
      <w:r>
        <w:t xml:space="preserve">“fewer job applications”</w:t>
      </w:r>
      <w:r>
        <w:t xml:space="preserve"> </w:t>
      </w:r>
      <w:r>
        <w:rPr>
          <w:i/>
          <w:iCs/>
        </w:rPr>
        <w:t xml:space="preserve">(R1)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“not specify what message is”</w:t>
      </w:r>
      <w:r>
        <w:t xml:space="preserve"> </w:t>
      </w:r>
      <w:r>
        <w:rPr>
          <w:i/>
          <w:iCs/>
        </w:rPr>
        <w:t xml:space="preserve">(R1)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“possibly become a possibly”</w:t>
      </w:r>
      <w:r>
        <w:t xml:space="preserve"> </w:t>
      </w:r>
      <w:r>
        <w:rPr>
          <w:i/>
          <w:iCs/>
        </w:rPr>
        <w:t xml:space="preserve">(R1)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“worker differ”</w:t>
      </w:r>
      <w:r>
        <w:t xml:space="preserve"> </w:t>
      </w:r>
      <w:r>
        <w:rPr>
          <w:i/>
          <w:iCs/>
        </w:rPr>
        <w:t xml:space="preserve">(R1)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“statics continues”</w:t>
      </w:r>
      <w:r>
        <w:t xml:space="preserve"> </w:t>
      </w:r>
      <w:r>
        <w:rPr>
          <w:i/>
          <w:iCs/>
        </w:rPr>
        <w:t xml:space="preserve">(R1)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“Denote the expected utility they can generate in other markets be”</w:t>
      </w:r>
      <w:r>
        <w:t xml:space="preserve"> </w:t>
      </w:r>
      <w:r>
        <w:rPr>
          <w:i/>
          <w:iCs/>
        </w:rPr>
        <w:t xml:space="preserve">(R1)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“due in part to employers consider”</w:t>
      </w:r>
      <w:r>
        <w:t xml:space="preserve"> </w:t>
      </w:r>
      <w:r>
        <w:rPr>
          <w:i/>
          <w:iCs/>
        </w:rPr>
        <w:t xml:space="preserve">(R1; R2)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Replace</w:t>
      </w:r>
      <w:r>
        <w:t xml:space="preserve"> </w:t>
      </w:r>
      <w:r>
        <w:t xml:space="preserve">“-Y% decrease”</w:t>
      </w:r>
      <w:r>
        <w:t xml:space="preserve"> </w:t>
      </w:r>
      <w:r>
        <w:t xml:space="preserve">phrasing with</w:t>
      </w:r>
      <w:r>
        <w:t xml:space="preserve"> </w:t>
      </w:r>
      <w:r>
        <w:t xml:space="preserve">“Y% decrease.”</w:t>
      </w:r>
      <w:r>
        <w:t xml:space="preserve"> </w:t>
      </w:r>
      <w:r>
        <w:rPr>
          <w:i/>
          <w:iCs/>
        </w:rPr>
        <w:t xml:space="preserve">(R2)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Peyman highlighted in yellow.</w:t>
      </w:r>
    </w:p>
    <w:p>
      <w:r>
        <w:pict>
          <v:rect style="width:0;height:1.5pt" o:hralign="center" o:hrstd="t" o:hr="t"/>
        </w:pict>
      </w:r>
    </w:p>
    <w:bookmarkEnd w:id="26"/>
    <w:bookmarkStart w:id="27" w:name="X8f4084bdc4c2b8e904843ebe153a87c35da366e"/>
    <w:p>
      <w:pPr>
        <w:pStyle w:val="Heading3"/>
      </w:pPr>
      <w:r>
        <w:t xml:space="preserve">7. Future Work (NOT required for this revision)</w:t>
      </w:r>
      <w:r>
        <w:t xml:space="preserve"> </w:t>
      </w:r>
      <w:r>
        <w:rPr>
          <w:rStyle w:val="VerbatimChar"/>
        </w:rPr>
        <w:t xml:space="preserve">[—]</w:t>
      </w:r>
    </w:p>
    <w:p>
      <w:pPr>
        <w:pStyle w:val="Compact"/>
        <w:numPr>
          <w:ilvl w:val="0"/>
          <w:numId w:val="1014"/>
        </w:numPr>
      </w:pPr>
      <w:r>
        <w:t xml:space="preserve">R3 explicitly opposes requiring it: optimal design of sorting mechanism via structural estimation. Keep Section V.C as a signpost.</w:t>
      </w:r>
      <w:r>
        <w:t xml:space="preserve"> </w:t>
      </w:r>
      <w:r>
        <w:rPr>
          <w:i/>
          <w:iCs/>
        </w:rPr>
        <w:t xml:space="preserve">(R3 §5)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Peyman highlighted</w:t>
      </w:r>
      <w:r>
        <w:rPr>
          <w:i/>
          <w:iCs/>
        </w:rPr>
        <w:t xml:space="preserve"> </w:t>
      </w:r>
      <w:r>
        <w:rPr>
          <w:i/>
          <w:iCs/>
        </w:rPr>
        <w:t xml:space="preserve">“suggestion for future work”</w:t>
      </w:r>
      <w:r>
        <w:rPr>
          <w:i/>
          <w:iCs/>
        </w:rPr>
        <w:t xml:space="preserve"> </w:t>
      </w:r>
      <w:r>
        <w:rPr>
          <w:i/>
          <w:iCs/>
        </w:rPr>
        <w:t xml:space="preserve">in yellow.</w:t>
      </w:r>
    </w:p>
    <w:p>
      <w:r>
        <w:pict>
          <v:rect style="width:0;height:1.5pt" o:hralign="center" o:hrstd="t" o:hr="t"/>
        </w:pict>
      </w:r>
    </w:p>
    <w:bookmarkEnd w:id="27"/>
    <w:bookmarkStart w:id="28" w:name="submission-logistics-peyman"/>
    <w:p>
      <w:pPr>
        <w:pStyle w:val="Heading3"/>
      </w:pPr>
      <w:r>
        <w:t xml:space="preserve">8. Submission Logistics</w:t>
      </w:r>
      <w:r>
        <w:t xml:space="preserve"> </w:t>
      </w:r>
      <w:r>
        <w:rPr>
          <w:rStyle w:val="VerbatimChar"/>
        </w:rPr>
        <w:t xml:space="preserve">[Peyman]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Prepare a single response PDF: (i) point-by-point response to each referee and editor, (ii) summary of changes.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Include Disclosure Statement per coauthor. State IRB approval.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Verify all data, code, and documentation for replication are prepared.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Submit via manuscriptcentral.com/aej-micro →</w:t>
      </w:r>
      <w:r>
        <w:t xml:space="preserve"> </w:t>
      </w:r>
      <w:r>
        <w:t xml:space="preserve">“Create a Revision.”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Delete redundant files before resubmitting.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[Peyman]</w:t>
      </w:r>
      <w:r>
        <w:t xml:space="preserve"> </w:t>
      </w:r>
      <w:r>
        <w:t xml:space="preserve">Target ~4-month resubmission (12-month max; editor:</w:t>
      </w:r>
      <w:r>
        <w:t xml:space="preserve"> </w:t>
      </w:r>
      <w:r>
        <w:t xml:space="preserve">“mostly an expositional revision”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art-c-open-questions"/>
    <w:p>
      <w:pPr>
        <w:pStyle w:val="Heading2"/>
      </w:pPr>
      <w:r>
        <w:t xml:space="preserve">Part C — Open Questions</w:t>
      </w:r>
    </w:p>
    <w:p>
      <w:pPr>
        <w:pStyle w:val="Compact"/>
        <w:numPr>
          <w:ilvl w:val="0"/>
          <w:numId w:val="1016"/>
        </w:numPr>
      </w:pPr>
      <w:r>
        <w:t xml:space="preserve">The R2 §3 /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paradox needs a crisp written resolution, not just a relocation. Peyman drafts; coauthors approve the content.</w:t>
      </w:r>
    </w:p>
    <w:p>
      <w:pPr>
        <w:pStyle w:val="Compact"/>
        <w:numPr>
          <w:ilvl w:val="0"/>
          <w:numId w:val="1016"/>
        </w:numPr>
      </w:pPr>
      <w:r>
        <w:t xml:space="preserve">R2 §2c (truthtelling consistency) flagged</w:t>
      </w:r>
      <w:r>
        <w:t xml:space="preserve"> </w:t>
      </w:r>
      <w:r>
        <w:t xml:space="preserve">“??”</w:t>
      </w:r>
      <w:r>
        <w:t xml:space="preserve"> </w:t>
      </w:r>
      <w:r>
        <w:t xml:space="preserve">— Peyman to route draft past John or Philipp before finalizing.</w:t>
      </w:r>
    </w:p>
    <w:p>
      <w:pPr>
        <w:pStyle w:val="Compact"/>
        <w:numPr>
          <w:ilvl w:val="0"/>
          <w:numId w:val="1016"/>
        </w:numPr>
      </w:pPr>
      <w:r>
        <w:t xml:space="preserve">Whether Section V.A moves to Appendix (R3 suggestion) — coauthor decision.</w:t>
      </w:r>
    </w:p>
    <w:p>
      <w:pPr>
        <w:pStyle w:val="Compact"/>
        <w:numPr>
          <w:ilvl w:val="0"/>
          <w:numId w:val="1016"/>
        </w:numPr>
      </w:pPr>
      <w:r>
        <w:t xml:space="preserve">Whether the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cost term survives the rebuild. Matters for the</w:t>
      </w:r>
      <w:r>
        <w:t xml:space="preserve"> </w:t>
      </w:r>
      <w:r>
        <w:t xml:space="preserve">“applications theoretically ambiguous”</w:t>
      </w:r>
      <w:r>
        <w:t xml:space="preserve"> </w:t>
      </w:r>
      <w:r>
        <w:t xml:space="preserve">prediction. See</w:t>
      </w:r>
      <w:r>
        <w:t xml:space="preserve"> </w:t>
      </w:r>
      <w:r>
        <w:rPr>
          <w:rStyle w:val="VerbatimChar"/>
        </w:rPr>
        <w:t xml:space="preserve">Version_Comparison_Backup_vs_Current.docx</w:t>
      </w:r>
      <w:r>
        <w:t xml:space="preserve">. Coauthor decision.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2026-04-14T23:51:50Z</dcterms:created>
  <dcterms:modified xsi:type="dcterms:W3CDTF">2026-04-14T23:51:50Z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