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b74de6dda54c3674b31446d6e9f7e869f24d95"/>
    <w:p>
      <w:pPr>
        <w:pStyle w:val="Heading1"/>
      </w:pPr>
      <w:r>
        <w:t xml:space="preserve">Hot Towel Revision — Combined Meeting Notes</w:t>
      </w:r>
    </w:p>
    <w:p>
      <w:pPr>
        <w:pStyle w:val="FirstParagraph"/>
      </w:pPr>
      <w:r>
        <w:rPr>
          <w:b/>
          <w:bCs/>
        </w:rPr>
        <w:t xml:space="preserve">Sources consolidated in this document:</w:t>
      </w:r>
      <w:r>
        <w:t xml:space="preserve"> </w:t>
      </w:r>
      <w:r>
        <w:t xml:space="preserve">1. Peyman’s annotated hard-copy of the editor’s letter + referee reports (</w:t>
      </w:r>
      <w:r>
        <w:rPr>
          <w:rStyle w:val="VerbatimChar"/>
        </w:rPr>
        <w:t xml:space="preserve">revision_notes/reports_notes/IMG_2393–IMG_2401</w:t>
      </w:r>
      <w:r>
        <w:t xml:space="preserve">).</w:t>
      </w:r>
      <w:r>
        <w:t xml:space="preserve"> </w:t>
      </w:r>
      <w:r>
        <w:t xml:space="preserve">2. The pre-meeting GPT-synthesized thematic report, printed and brought to the meeting (</w:t>
      </w:r>
      <w:r>
        <w:rPr>
          <w:rStyle w:val="VerbatimChar"/>
        </w:rPr>
        <w:t xml:space="preserve">revision_notes/meeting_prep/IMG_2385–IMG_2391</w:t>
      </w:r>
      <w:r>
        <w:t xml:space="preserve">).</w:t>
      </w:r>
      <w:r>
        <w:t xml:space="preserve"> </w:t>
      </w:r>
      <w:r>
        <w:t xml:space="preserve">3. Handwritten comments captured during the coauthor meeting, written on the final blank page of the meeting-prep packet (</w:t>
      </w:r>
      <w:r>
        <w:rPr>
          <w:rStyle w:val="VerbatimChar"/>
        </w:rPr>
        <w:t xml:space="preserve">revision_notes/meeting_prep/IMG_2392</w:t>
      </w:r>
      <w:r>
        <w:t xml:space="preserve">).</w:t>
      </w:r>
    </w:p>
    <w:p>
      <w:pPr>
        <w:pStyle w:val="BodyText"/>
      </w:pPr>
      <w:r>
        <w:t xml:space="preserve">The meeting was held roughly 6 months before this document was assembled. It was a discussion among the coauthors (Horton, Johari, Kircher) and Peyman (RA) about how to respond to the referee reports.</w:t>
      </w:r>
    </w:p>
    <w:p>
      <w:r>
        <w:pict>
          <v:rect style="width:0;height:1.5pt" o:hralign="center" o:hrstd="t" o:hr="t"/>
        </w:pict>
      </w:r>
    </w:p>
    <w:bookmarkStart w:id="9" w:name="X1919952cfbd6587a7b706255941e5f91896d702"/>
    <w:p>
      <w:pPr>
        <w:pStyle w:val="Heading2"/>
      </w:pPr>
      <w:r>
        <w:t xml:space="preserve">Part I — Directives from the Meeting (the operative plan)</w:t>
      </w:r>
    </w:p>
    <w:p>
      <w:pPr>
        <w:pStyle w:val="FirstParagraph"/>
      </w:pPr>
      <w:r>
        <w:t xml:space="preserve">These are the concrete decisions recorded in handwritten form on the last page of the meeting-prep packet (IMG_2392). These are the instructions that came out of the discussion.</w:t>
      </w:r>
    </w:p>
    <w:p>
      <w:pPr>
        <w:pStyle w:val="BlockText"/>
      </w:pPr>
      <w:r>
        <w:rPr>
          <w:b/>
          <w:bCs/>
        </w:rPr>
        <w:t xml:space="preserve">John → take pass</w:t>
      </w:r>
      <w:r>
        <w:t xml:space="preserve"> </w:t>
      </w:r>
      <w:r>
        <w:rPr>
          <w:b/>
          <w:bCs/>
        </w:rPr>
        <w:t xml:space="preserve">I [Peyman] take a look</w:t>
      </w:r>
      <w:r>
        <w:t xml:space="preserve"> </w:t>
      </w:r>
      <w:r>
        <w:rPr>
          <w:b/>
          <w:bCs/>
        </w:rPr>
        <w:t xml:space="preserve">FOC + comp. stat. main part</w:t>
      </w:r>
      <w:r>
        <w:t xml:space="preserve"> </w:t>
      </w:r>
      <w:r>
        <w:rPr>
          <w:b/>
          <w:bCs/>
        </w:rPr>
        <w:t xml:space="preserve">— [new version] → not much equations</w:t>
      </w:r>
      <w:r>
        <w:t xml:space="preserve"> </w:t>
      </w:r>
      <w:r>
        <w:rPr>
          <w:b/>
          <w:bCs/>
        </w:rPr>
        <w:t xml:space="preserve">— group all robustness to appendix</w:t>
      </w:r>
      <w:r>
        <w:t xml:space="preserve"> </w:t>
      </w:r>
      <w:r>
        <w:rPr>
          <w:b/>
          <w:bCs/>
        </w:rPr>
        <w:t xml:space="preserve">— second signal → appendix</w:t>
      </w:r>
      <w:r>
        <w:t xml:space="preserve"> </w:t>
      </w:r>
      <w:r>
        <w:t xml:space="preserve">** (but needed for comp. statics)</w:t>
      </w:r>
      <w:r>
        <w:rPr>
          <w:b/>
          <w:bCs/>
        </w:rPr>
        <w:t xml:space="preserve"> </w:t>
      </w:r>
      <w:r>
        <w:t xml:space="preserve">buried → in appendix**</w:t>
      </w:r>
    </w:p>
    <w:p>
      <w:pPr>
        <w:pStyle w:val="FirstParagraph"/>
      </w:pPr>
      <w:r>
        <w:t xml:space="preserve">Read back in plain English: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John Horton</w:t>
      </w:r>
      <w:r>
        <w:t xml:space="preserve"> </w:t>
      </w:r>
      <w:r>
        <w:t xml:space="preserve">will take the first pass on the revision.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Peyman</w:t>
      </w:r>
      <w:r>
        <w:t xml:space="preserve"> </w:t>
      </w:r>
      <w:r>
        <w:t xml:space="preserve">will take a subsequent look.</w:t>
      </w:r>
    </w:p>
    <w:p>
      <w:pPr>
        <w:pStyle w:val="Compact"/>
        <w:numPr>
          <w:ilvl w:val="0"/>
          <w:numId w:val="100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new version</w:t>
      </w:r>
      <w:r>
        <w:t xml:space="preserve">, the model body should contain mostly</w:t>
      </w:r>
      <w:r>
        <w:t xml:space="preserve"> </w:t>
      </w:r>
      <w:r>
        <w:rPr>
          <w:b/>
          <w:bCs/>
        </w:rPr>
        <w:t xml:space="preserve">first-order conditions and comparative statics</w:t>
      </w:r>
      <w:r>
        <w:t xml:space="preserve"> </w:t>
      </w:r>
      <w:r>
        <w:t xml:space="preserve">— not</w:t>
      </w:r>
      <w:r>
        <w:t xml:space="preserve"> </w:t>
      </w:r>
      <w:r>
        <w:t xml:space="preserve">“much equations.”</w:t>
      </w:r>
      <w:r>
        <w:t xml:space="preserve"> </w:t>
      </w:r>
      <w:r>
        <w:t xml:space="preserve">The heavy formal derivations come out of the body.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robustness material goes to the appendix.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second signal (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should move to the appendix — but it is</w:t>
      </w:r>
      <w:r>
        <w:t xml:space="preserve"> </w:t>
      </w:r>
      <w:r>
        <w:rPr>
          <w:b/>
          <w:bCs/>
        </w:rPr>
        <w:t xml:space="preserve">still needed for the comparative statics</w:t>
      </w:r>
      <w:r>
        <w:t xml:space="preserve">, so it cannot be dropped, only relocated.</w:t>
      </w:r>
    </w:p>
    <w:p>
      <w:pPr>
        <w:pStyle w:val="Compact"/>
        <w:numPr>
          <w:ilvl w:val="0"/>
          <w:numId w:val="1001"/>
        </w:numPr>
      </w:pPr>
      <w:r>
        <w:t xml:space="preserve">Things that are currently</w:t>
      </w:r>
      <w:r>
        <w:t xml:space="preserve"> </w:t>
      </w:r>
      <w:r>
        <w:t xml:space="preserve">“buried”</w:t>
      </w:r>
      <w:r>
        <w:t xml:space="preserve"> </w:t>
      </w:r>
      <w:r>
        <w:t xml:space="preserve">in the body should be moved into the appendix.</w:t>
      </w:r>
    </w:p>
    <w:p>
      <w:pPr>
        <w:pStyle w:val="FirstParagraph"/>
      </w:pPr>
      <w:r>
        <w:t xml:space="preserve">This aligns directly with Philipp’s later instruction to revert to the</w:t>
      </w:r>
      <w:r>
        <w:t xml:space="preserve"> </w:t>
      </w:r>
      <w:r>
        <w:rPr>
          <w:rStyle w:val="VerbatimChar"/>
        </w:rPr>
        <w:t xml:space="preserve">hot_towel_backupPK03-28-22.tex</w:t>
      </w:r>
      <w:r>
        <w:t xml:space="preserve"> </w:t>
      </w:r>
      <w:r>
        <w:t xml:space="preserve">version (see</w:t>
      </w:r>
      <w:r>
        <w:t xml:space="preserve"> </w:t>
      </w:r>
      <w:r>
        <w:rPr>
          <w:rStyle w:val="VerbatimChar"/>
        </w:rPr>
        <w:t xml:space="preserve">project_revision_plan.md</w:t>
      </w:r>
      <w:r>
        <w:t xml:space="preserve"> </w:t>
      </w:r>
      <w:r>
        <w:t xml:space="preserve">in session memory). The backup is a</w:t>
      </w:r>
      <w:r>
        <w:t xml:space="preserve"> </w:t>
      </w:r>
      <w:r>
        <w:t xml:space="preserve">“not much equations”</w:t>
      </w:r>
      <w:r>
        <w:t xml:space="preserve"> </w:t>
      </w:r>
      <w:r>
        <w:t xml:space="preserve">standalone-theory version; the meeting notes are the higher-level plan to get there.</w:t>
      </w:r>
    </w:p>
    <w:p>
      <w:r>
        <w:pict>
          <v:rect style="width:0;height:1.5pt" o:hralign="center" o:hrstd="t" o:hr="t"/>
        </w:pict>
      </w:r>
    </w:p>
    <w:bookmarkEnd w:id="9"/>
    <w:bookmarkStart w:id="16" w:name="X8e75323e300f7009577669b3a7428dac8b6d43e"/>
    <w:p>
      <w:pPr>
        <w:pStyle w:val="Heading2"/>
      </w:pPr>
      <w:r>
        <w:t xml:space="preserve">Part II — Peyman’s Margin Annotations on the Referee Reports</w:t>
      </w:r>
    </w:p>
    <w:p>
      <w:pPr>
        <w:pStyle w:val="FirstParagraph"/>
      </w:pPr>
      <w:r>
        <w:t xml:space="preserve">These are handwritten in red pen on the printed copies of the editor’s letter and the three reports. They reflect Peyman’s first-pass reactions when reading the reports.</w:t>
      </w:r>
    </w:p>
    <w:bookmarkStart w:id="10" w:name="on-the-editors-letter-page-1-img_2393"/>
    <w:p>
      <w:pPr>
        <w:pStyle w:val="Heading3"/>
      </w:pPr>
      <w:r>
        <w:t xml:space="preserve">On the Editor’s Letter, page 1 (IMG_2393)</w:t>
      </w:r>
    </w:p>
    <w:p>
      <w:pPr>
        <w:numPr>
          <w:ilvl w:val="0"/>
          <w:numId w:val="1002"/>
        </w:numPr>
      </w:pPr>
      <w:r>
        <w:t xml:space="preserve">Next to the model-section discussion and references to supplementary/online appendix: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“Delegate all robustness to generalizations to the end?”</w:t>
      </w:r>
    </w:p>
    <w:p>
      <w:pPr>
        <w:numPr>
          <w:ilvl w:val="0"/>
          <w:numId w:val="1000"/>
        </w:numPr>
      </w:pPr>
      <w:r>
        <w:t xml:space="preserve">Interpretation: open question about whether to push generalizations (robustness, alternative production functions, second-signal precision) out of the main body and into the back. This question was answered affirmatively at the meeting — see Part I:</w:t>
      </w:r>
      <w:r>
        <w:t xml:space="preserve"> </w:t>
      </w:r>
      <w:r>
        <w:t xml:space="preserve">“group all robustness to appendix.”</w:t>
      </w:r>
    </w:p>
    <w:bookmarkEnd w:id="10"/>
    <w:bookmarkStart w:id="11" w:name="on-the-editors-letter-page-2-img_2394"/>
    <w:p>
      <w:pPr>
        <w:pStyle w:val="Heading3"/>
      </w:pPr>
      <w:r>
        <w:t xml:space="preserve">On the Editor’s Letter, page 2 (IMG_2394)</w:t>
      </w:r>
    </w:p>
    <w:p>
      <w:pPr>
        <w:numPr>
          <w:ilvl w:val="0"/>
          <w:numId w:val="1003"/>
        </w:numPr>
      </w:pPr>
      <w:r>
        <w:t xml:space="preserve">Against</w:t>
      </w:r>
      <w:r>
        <w:t xml:space="preserve"> </w:t>
      </w:r>
      <w:r>
        <w:t xml:space="preserve">“b) Trim defensive writing”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“Last point ✓”</w:t>
      </w:r>
    </w:p>
    <w:p>
      <w:pPr>
        <w:numPr>
          <w:ilvl w:val="0"/>
          <w:numId w:val="1000"/>
        </w:numPr>
      </w:pPr>
      <w:r>
        <w:t xml:space="preserve">Interpretation: noted as understood / already in Peyman’s plan.</w:t>
      </w:r>
    </w:p>
    <w:p>
      <w:pPr>
        <w:numPr>
          <w:ilvl w:val="0"/>
          <w:numId w:val="1003"/>
        </w:numPr>
      </w:pPr>
      <w:r>
        <w:t xml:space="preserve">Against</w:t>
      </w:r>
      <w:r>
        <w:t xml:space="preserve"> </w:t>
      </w:r>
      <w:r>
        <w:t xml:space="preserve">“c) Clarify definitions and logic”</w:t>
      </w:r>
      <w:r>
        <w:t xml:space="preserve"> </w:t>
      </w:r>
      <w:r>
        <w:t xml:space="preserve">(large market, truthtelling before Prop 1, role of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“See model again”</w:t>
      </w:r>
    </w:p>
    <w:p>
      <w:pPr>
        <w:numPr>
          <w:ilvl w:val="0"/>
          <w:numId w:val="1000"/>
        </w:numPr>
      </w:pPr>
      <w:r>
        <w:t xml:space="preserve">Interpretation: flagged as requiring a careful re-read of the model before being actioned. This is the single most technically loaded editor point.</w:t>
      </w:r>
    </w:p>
    <w:p>
      <w:pPr>
        <w:numPr>
          <w:ilvl w:val="0"/>
          <w:numId w:val="1003"/>
        </w:numPr>
      </w:pPr>
      <w:r>
        <w:t xml:space="preserve">Against</w:t>
      </w:r>
      <w:r>
        <w:t xml:space="preserve"> </w:t>
      </w:r>
      <w:r>
        <w:t xml:space="preserve">“3. Wage determination”</w:t>
      </w:r>
      <w:r>
        <w:t xml:space="preserve"> </w:t>
      </w:r>
      <w:r>
        <w:t xml:space="preserve">(Additional Comments):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“More substantial point, not me”</w:t>
      </w:r>
    </w:p>
    <w:p>
      <w:pPr>
        <w:numPr>
          <w:ilvl w:val="0"/>
          <w:numId w:val="1000"/>
        </w:numPr>
      </w:pPr>
      <w:r>
        <w:t xml:space="preserve">Interpretation: Peyman considers this a substantive theoretical/empirical question (is the</w:t>
      </w:r>
      <w:r>
        <w:t xml:space="preserve"> </w:t>
      </w:r>
      <w:r>
        <w:t xml:space="preserve">“firm pays the bid”</w:t>
      </w:r>
      <w:r>
        <w:t xml:space="preserve"> </w:t>
      </w:r>
      <w:r>
        <w:t xml:space="preserve">assumption realistic? does bargaining happen off-platform?) that one of the coauthors should address — not an RA-appropriate task.</w:t>
      </w:r>
    </w:p>
    <w:bookmarkEnd w:id="11"/>
    <w:bookmarkStart w:id="12" w:name="X3320fda338bc30274c8f4362bad1de3638cc46e"/>
    <w:p>
      <w:pPr>
        <w:pStyle w:val="Heading3"/>
      </w:pPr>
      <w:r>
        <w:t xml:space="preserve">On Referee 2, section 2</w:t>
      </w:r>
      <w:r>
        <w:t xml:space="preserve"> </w:t>
      </w:r>
      <w:r>
        <w:t xml:space="preserve">“Role and test of truthtelling”</w:t>
      </w:r>
      <w:r>
        <w:t xml:space="preserve"> </w:t>
      </w:r>
      <w:r>
        <w:t xml:space="preserve">(IMG_2398)</w:t>
      </w:r>
    </w:p>
    <w:p>
      <w:pPr>
        <w:pStyle w:val="FirstParagraph"/>
      </w:pPr>
      <w:r>
        <w:t xml:space="preserve">Peyman bracketed the three comments (a, b, c) with the note:</w:t>
      </w:r>
    </w:p>
    <w:p>
      <w:pPr>
        <w:pStyle w:val="BlockText"/>
      </w:pPr>
      <w:r>
        <w:rPr>
          <w:b/>
          <w:bCs/>
        </w:rPr>
        <w:t xml:space="preserve">“3 to do Peyman”</w:t>
      </w:r>
    </w:p>
    <w:p>
      <w:pPr>
        <w:pStyle w:val="FirstParagraph"/>
      </w:pPr>
      <w:r>
        <w:t xml:space="preserve">Meaning the three specific R2 truthtelling items are Peyman’s to handle. However, within the three he drew distinctions:</w:t>
      </w:r>
    </w:p>
    <w:p>
      <w:pPr>
        <w:numPr>
          <w:ilvl w:val="0"/>
          <w:numId w:val="1004"/>
        </w:numPr>
      </w:pPr>
      <w:r>
        <w:t xml:space="preserve">R2 §2a —</w:t>
      </w:r>
      <w:r>
        <w:t xml:space="preserve"> </w:t>
      </w:r>
      <w:r>
        <w:rPr>
          <w:i/>
          <w:iCs/>
        </w:rPr>
        <w:t xml:space="preserve">“Emphasize that additional support for truthtelling comes from data validating several model predictions that rely on truthtelling”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“Nice! Can do.”</w:t>
      </w:r>
      <w:r>
        <w:t xml:space="preserve"> </w:t>
      </w:r>
      <w:r>
        <w:t xml:space="preserve">Clear, actionable, accepted.</w:t>
      </w:r>
    </w:p>
    <w:p>
      <w:pPr>
        <w:numPr>
          <w:ilvl w:val="0"/>
          <w:numId w:val="1004"/>
        </w:numPr>
      </w:pPr>
      <w:r>
        <w:t xml:space="preserve">R2 §2b —</w:t>
      </w:r>
      <w:r>
        <w:t xml:space="preserve"> </w:t>
      </w:r>
      <w:r>
        <w:rPr>
          <w:i/>
          <w:iCs/>
        </w:rPr>
        <w:t xml:space="preserve">“The choice to pool the sample is not always consistent (Figure 1, Figure 4, Section V.E)”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“?”</w:t>
      </w:r>
      <w:r>
        <w:t xml:space="preserve"> </w:t>
      </w:r>
      <w:r>
        <w:t xml:space="preserve">Marked as needing clarification or further thought.</w:t>
      </w:r>
    </w:p>
    <w:p>
      <w:pPr>
        <w:numPr>
          <w:ilvl w:val="0"/>
          <w:numId w:val="1004"/>
        </w:numPr>
      </w:pPr>
      <w:r>
        <w:t xml:space="preserve">R2 §2c —</w:t>
      </w:r>
      <w:r>
        <w:t xml:space="preserve"> </w:t>
      </w:r>
      <w:r>
        <w:rPr>
          <w:i/>
          <w:iCs/>
        </w:rPr>
        <w:t xml:space="preserve">“The assumption of truthtelling should be stated more explicitly and consistently”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“??”</w:t>
      </w:r>
      <w:r>
        <w:t xml:space="preserve"> </w:t>
      </w:r>
      <w:r>
        <w:t xml:space="preserve">Double question mark — more uncertain, probably a coauthor discussion item.</w:t>
      </w:r>
    </w:p>
    <w:bookmarkEnd w:id="12"/>
    <w:bookmarkStart w:id="13" w:name="Xc14bdf92fe036fd7caef57b1e0fe990c29a12a6"/>
    <w:p>
      <w:pPr>
        <w:pStyle w:val="Heading3"/>
      </w:pPr>
      <w:r>
        <w:t xml:space="preserve">On Referee 2, section 3</w:t>
      </w:r>
      <w:r>
        <w:t xml:space="preserve"> </w:t>
      </w:r>
      <w:r>
        <w:t xml:space="preserve">“The second signal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”</w:t>
      </w:r>
      <w:r>
        <w:t xml:space="preserve"> </w:t>
      </w:r>
      <w:r>
        <w:t xml:space="preserve">(IMG_2398)</w:t>
      </w:r>
    </w:p>
    <w:p>
      <w:pPr>
        <w:numPr>
          <w:ilvl w:val="0"/>
          <w:numId w:val="1005"/>
        </w:numPr>
      </w:pPr>
      <w:r>
        <w:t xml:space="preserve">Next to the section heading: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“?”</w:t>
      </w:r>
    </w:p>
    <w:p>
      <w:pPr>
        <w:numPr>
          <w:ilvl w:val="0"/>
          <w:numId w:val="1000"/>
        </w:numPr>
      </w:pPr>
      <w:r>
        <w:t xml:space="preserve">This is the comment the meeting addressed directly: R2’s point that if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, the model should have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wage effect from cheap talk, but the paper reports non-trivial wage effects. The meeting’s resolution was to move the second signal to the appendix while keeping it available for comparative statics.</w:t>
      </w:r>
    </w:p>
    <w:bookmarkEnd w:id="13"/>
    <w:bookmarkStart w:id="14" w:name="on-referee-2-smaller-comments-img_2399"/>
    <w:p>
      <w:pPr>
        <w:pStyle w:val="Heading3"/>
      </w:pPr>
      <w:r>
        <w:t xml:space="preserve">On Referee 2,</w:t>
      </w:r>
      <w:r>
        <w:t xml:space="preserve"> </w:t>
      </w:r>
      <w:r>
        <w:t xml:space="preserve">“Smaller comments”</w:t>
      </w:r>
      <w:r>
        <w:t xml:space="preserve"> </w:t>
      </w:r>
      <w:r>
        <w:t xml:space="preserve">(IMG_2399)</w:t>
      </w:r>
    </w:p>
    <w:p>
      <w:pPr>
        <w:numPr>
          <w:ilvl w:val="0"/>
          <w:numId w:val="1006"/>
        </w:numPr>
      </w:pPr>
      <w:r>
        <w:t xml:space="preserve">At the top, re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paradox continuing (</w:t>
      </w:r>
      <w:r>
        <w:t xml:space="preserve">“Is there something subtle I’m missing?”</w:t>
      </w:r>
      <w: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“?”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“??”</w:t>
      </w:r>
      <w:r>
        <w:t xml:space="preserve"> </w:t>
      </w:r>
      <w:r>
        <w:t xml:space="preserve">— uncertainty echoed.</w:t>
      </w:r>
    </w:p>
    <w:p>
      <w:pPr>
        <w:numPr>
          <w:ilvl w:val="0"/>
          <w:numId w:val="1006"/>
        </w:numPr>
      </w:pPr>
      <w:r>
        <w:t xml:space="preserve">A red curving arrow alongside the</w:t>
      </w:r>
      <w:r>
        <w:t xml:space="preserve"> </w:t>
      </w:r>
      <w:r>
        <w:t xml:space="preserve">“p. 28 typos”</w:t>
      </w:r>
      <w:r>
        <w:t xml:space="preserve"> </w:t>
      </w:r>
      <w:r>
        <w:t xml:space="preserve">bullet — probably a reminder of ownership or priority.</w:t>
      </w:r>
    </w:p>
    <w:p>
      <w:pPr>
        <w:numPr>
          <w:ilvl w:val="0"/>
          <w:numId w:val="1006"/>
        </w:numPr>
      </w:pPr>
      <w:r>
        <w:t xml:space="preserve">A red</w:t>
      </w:r>
      <w:r>
        <w:t xml:space="preserve"> </w:t>
      </w:r>
      <w:r>
        <w:t xml:space="preserve">“?”</w:t>
      </w:r>
      <w:r>
        <w:t xml:space="preserve"> </w:t>
      </w:r>
      <w:r>
        <w:t xml:space="preserve">at the bottom — likely an open item with no attached text.</w:t>
      </w:r>
    </w:p>
    <w:bookmarkEnd w:id="14"/>
    <w:bookmarkStart w:id="15" w:name="X692badf720e62f5d7cc0bb33fe67c551d395877"/>
    <w:p>
      <w:pPr>
        <w:pStyle w:val="Heading3"/>
      </w:pPr>
      <w:r>
        <w:t xml:space="preserve">On Referee 3 (IMG_2400) — no new handwritten margin notes beyond yellow highlights</w:t>
      </w:r>
    </w:p>
    <w:p>
      <w:pPr>
        <w:pStyle w:val="FirstParagraph"/>
      </w:pPr>
      <w:r>
        <w:t xml:space="preserve">Yellow highlighting on:</w:t>
      </w:r>
      <w:r>
        <w:t xml:space="preserve"> </w:t>
      </w:r>
      <w:r>
        <w:t xml:space="preserve">- R3 §1 — the passage ending</w:t>
      </w:r>
      <w:r>
        <w:t xml:space="preserve"> </w:t>
      </w:r>
      <w:r>
        <w:rPr>
          <w:i/>
          <w:iCs/>
        </w:rPr>
        <w:t xml:space="preserve">“My main suggestion for improving this paper would be connecting it to that literature by outlining how the empirical evidence comports with the framework advanced there”</w:t>
      </w:r>
      <w:r>
        <w:t xml:space="preserve"> </w:t>
      </w:r>
      <w:r>
        <w:t xml:space="preserve">(Backus, Blake &amp; Tadelis 2019 connection).</w:t>
      </w:r>
      <w:r>
        <w:t xml:space="preserve"> </w:t>
      </w:r>
      <w:r>
        <w:t xml:space="preserve">- R3 §5 —</w:t>
      </w:r>
      <w:r>
        <w:t xml:space="preserve"> </w:t>
      </w:r>
      <w:r>
        <w:rPr>
          <w:i/>
          <w:iCs/>
        </w:rPr>
        <w:t xml:space="preserve">“suggestion for future work.”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84412723e2045364f08d6deeed61763dddf255a"/>
    <w:p>
      <w:pPr>
        <w:pStyle w:val="Heading2"/>
      </w:pPr>
      <w:r>
        <w:t xml:space="preserve">Part III — The GPT-Synthesized Thematic Memo (Meeting Prep)</w:t>
      </w:r>
    </w:p>
    <w:p>
      <w:pPr>
        <w:pStyle w:val="FirstParagraph"/>
      </w:pPr>
      <w:r>
        <w:t xml:space="preserve">This is a pre-meeting synthesis Peyman asked GPT to prepare. It reorganizes the three reports and the editor’s letter around six themes, each with</w:t>
      </w:r>
      <w:r>
        <w:t xml:space="preserve"> </w:t>
      </w:r>
      <w:r>
        <w:t xml:space="preserve">“Why it matters,”</w:t>
      </w:r>
      <w:r>
        <w:t xml:space="preserve"> </w:t>
      </w:r>
      <w:r>
        <w:t xml:space="preserve">“What to discuss,”</w:t>
      </w:r>
      <w:r>
        <w:t xml:space="preserve"> </w:t>
      </w:r>
      <w:r>
        <w:t xml:space="preserve">“Evidence / citations,”</w:t>
      </w:r>
      <w:r>
        <w:t xml:space="preserve"> </w:t>
      </w:r>
      <w:r>
        <w:t xml:space="preserve">and</w:t>
      </w:r>
      <w:r>
        <w:t xml:space="preserve"> </w:t>
      </w:r>
      <w:r>
        <w:t xml:space="preserve">“Good meeting line”</w:t>
      </w:r>
      <w:r>
        <w:t xml:space="preserve"> </w:t>
      </w:r>
      <w:r>
        <w:t xml:space="preserve">subheadings. The six themes and their payoffs are reproduced below — they formed the agenda for the meeting.</w:t>
      </w:r>
    </w:p>
    <w:bookmarkStart w:id="17" w:name="Xa92fdc6dc31f1581a899390668900cb45649ee4"/>
    <w:p>
      <w:pPr>
        <w:pStyle w:val="Heading3"/>
      </w:pPr>
      <w:r>
        <w:t xml:space="preserve">Theme 1 — Model exposition is the #1 priority (clarity, structure, self-containment)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the editor’s main condition for publication. Everyone agrees the model is right, but it’s currently hard to read, hard to teach, and hard to connect to the empirics.</w:t>
      </w:r>
    </w:p>
    <w:p>
      <w:pPr>
        <w:pStyle w:val="BodyText"/>
      </w:pPr>
      <w:r>
        <w:rPr>
          <w:b/>
          <w:bCs/>
        </w:rPr>
        <w:t xml:space="preserve">What to discuss.</w:t>
      </w:r>
      <w:r>
        <w:t xml:space="preserve"> </w:t>
      </w:r>
      <w:r>
        <w:t xml:space="preserve">- Split formal model vs intuition cleanly.</w:t>
      </w:r>
      <w:r>
        <w:t xml:space="preserve"> </w:t>
      </w:r>
      <w:r>
        <w:t xml:space="preserve">- Make the model + main appendix fully self-contained.</w:t>
      </w:r>
      <w:r>
        <w:t xml:space="preserve"> </w:t>
      </w:r>
      <w:r>
        <w:t xml:space="preserve">- Kill defensive writing and</w:t>
      </w:r>
      <w:r>
        <w:t xml:space="preserve"> </w:t>
      </w:r>
      <w:r>
        <w:t xml:space="preserve">“we could have done X”</w:t>
      </w:r>
      <w:r>
        <w:t xml:space="preserve"> </w:t>
      </w:r>
      <w:r>
        <w:t xml:space="preserve">hedging.</w:t>
      </w:r>
      <w:r>
        <w:t xml:space="preserve"> </w:t>
      </w:r>
      <w:r>
        <w:t xml:space="preserve">- Define objects (one, early, and precisely): large market, queues, signals, truthtelling.</w:t>
      </w:r>
      <w:r>
        <w:t xml:space="preserve"> </w:t>
      </w:r>
      <w:r>
        <w:t xml:space="preserve">- Reorder so truthtelling and equilibrium logic appear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Proposition 1.</w:t>
      </w:r>
    </w:p>
    <w:p>
      <w:pPr>
        <w:pStyle w:val="BodyText"/>
      </w:pPr>
      <w:r>
        <w:rPr>
          <w:b/>
          <w:bCs/>
        </w:rPr>
        <w:t xml:space="preserve">Evidence / citations.</w:t>
      </w:r>
      <w:r>
        <w:t xml:space="preserve"> </w:t>
      </w:r>
      <w:r>
        <w:t xml:space="preserve">- Editor:</w:t>
      </w:r>
      <w:r>
        <w:t xml:space="preserve"> </w:t>
      </w:r>
      <w:r>
        <w:t xml:space="preserve">“the current presentation of the model is not clear enough”</w:t>
      </w:r>
      <w:r>
        <w:t xml:space="preserve"> </w:t>
      </w:r>
      <w:r>
        <w:t xml:space="preserve">and explicitly sides with R2 (Editor’s Letter, p. 1).</w:t>
      </w:r>
      <w:r>
        <w:t xml:space="preserve"> </w:t>
      </w:r>
      <w:r>
        <w:t xml:space="preserve">- Editor goal 1(a)–(d): separation of formalism/intuition, trimming, definitions, organization (pp. 1–2).</w:t>
      </w:r>
      <w:r>
        <w:t xml:space="preserve"> </w:t>
      </w:r>
      <w:r>
        <w:t xml:space="preserve">- R2:</w:t>
      </w:r>
      <w:r>
        <w:t xml:space="preserve"> </w:t>
      </w:r>
      <w:r>
        <w:t xml:space="preserve">“neither fully formal nor purely intuitive … difficult to follow”</w:t>
      </w:r>
      <w:r>
        <w:t xml:space="preserve"> </w:t>
      </w:r>
      <w:r>
        <w:t xml:space="preserve">+ request for two sections (R2 §1).</w:t>
      </w:r>
      <w:r>
        <w:t xml:space="preserve"> </w:t>
      </w:r>
      <w:r>
        <w:t xml:space="preserve">- R2: confusion about</w:t>
      </w:r>
      <w:r>
        <w:t xml:space="preserve"> </w:t>
      </w:r>
      <w:r>
        <w:t xml:space="preserve">“large market,”</w:t>
      </w:r>
      <w:r>
        <w:t xml:space="preserve"> </w:t>
      </w:r>
      <w:r>
        <w:t xml:space="preserve">Poisson queues, undefined assumptions (R2 §1c).</w:t>
      </w:r>
    </w:p>
    <w:p>
      <w:pPr>
        <w:pStyle w:val="BodyText"/>
      </w:pPr>
      <w:r>
        <w:rPr>
          <w:b/>
          <w:bCs/>
        </w:rPr>
        <w:t xml:space="preserve">Good meeting line.</w:t>
      </w:r>
      <w:r>
        <w:t xml:space="preserve"> </w:t>
      </w:r>
      <w:r>
        <w:rPr>
          <w:i/>
          <w:iCs/>
        </w:rPr>
        <w:t xml:space="preserve">“The bottleneck isn’t the model itself — it’s readability. The editor is basically asking for an AEJ-Micro-grade rewrite of the model section.”</w:t>
      </w:r>
    </w:p>
    <w:bookmarkEnd w:id="17"/>
    <w:bookmarkStart w:id="18" w:name="Xcbb62c4bd542184549fb2c25718afb63cfed4c0"/>
    <w:p>
      <w:pPr>
        <w:pStyle w:val="Heading3"/>
      </w:pPr>
      <w:r>
        <w:t xml:space="preserve">Theme 2 — Role of the second signal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wage effects (the big conceptual tension)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the most substantive theoretical critique. If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nearly perfectly revealing, wage effects from cheap talk should vanish — yet wages move in theory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What to discuss.</w:t>
      </w:r>
      <w:r>
        <w:t xml:space="preserve"> </w:t>
      </w:r>
      <w:r>
        <w:t xml:space="preserve">- Clarify whether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is:</w:t>
      </w:r>
      <w:r>
        <w:t xml:space="preserve"> </w:t>
      </w:r>
      <w:r>
        <w:t xml:space="preserve">- almost-perfect but not perfect (and why that’s enough), or</w:t>
      </w:r>
      <w:r>
        <w:t xml:space="preserve"> </w:t>
      </w:r>
      <w:r>
        <w:t xml:space="preserve">- a modeling shortcut masking something else (e.g., heterogeneity, beliefs, queue composition).</w:t>
      </w:r>
      <w:r>
        <w:t xml:space="preserve"> </w:t>
      </w:r>
      <w:r>
        <w:t xml:space="preserve">- Possibly:</w:t>
      </w:r>
      <w:r>
        <w:t xml:space="preserve"> </w:t>
      </w:r>
      <w:r>
        <w:t xml:space="preserve">- weaken the</w:t>
      </w:r>
      <w:r>
        <w:t xml:space="preserve"> </w:t>
      </w:r>
      <w:r>
        <w:t xml:space="preserve">“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close to 1”</w:t>
      </w:r>
      <w:r>
        <w:t xml:space="preserve"> </w:t>
      </w:r>
      <w:r>
        <w:t xml:space="preserve">assumption, or</w:t>
      </w:r>
      <w:r>
        <w:t xml:space="preserve"> </w:t>
      </w:r>
      <w:r>
        <w:t xml:space="preserve">- explain wage effects as equilibrium / competition effects rather than information effects.</w:t>
      </w:r>
      <w:r>
        <w:t xml:space="preserve"> </w:t>
      </w:r>
      <w:r>
        <w:t xml:space="preserve">- Decide whether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actually needed in the baseline.</w:t>
      </w:r>
    </w:p>
    <w:p>
      <w:pPr>
        <w:pStyle w:val="BodyText"/>
      </w:pPr>
      <w:r>
        <w:rPr>
          <w:b/>
          <w:bCs/>
        </w:rPr>
        <w:t xml:space="preserve">Evidence / citations.</w:t>
      </w:r>
      <w:r>
        <w:t xml:space="preserve"> </w:t>
      </w:r>
      <w:r>
        <w:t xml:space="preserve">- Editor explicitly flags this as unresolved (Editor’s Letter, 1(c)).</w:t>
      </w:r>
      <w:r>
        <w:t xml:space="preserve"> </w:t>
      </w:r>
      <w:r>
        <w:t xml:space="preserve">- R2 §3:</w:t>
      </w:r>
      <w:r>
        <w:t xml:space="preserve"> </w:t>
      </w:r>
      <w:r>
        <w:rPr>
          <w:i/>
          <w:iCs/>
        </w:rPr>
        <w:t xml:space="preserve">“With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i/>
          <w:iCs/>
        </w:rPr>
        <w:t xml:space="preserve">, the message affects only sorting, not wage offers … Is there something subtle I’m missing?”</w:t>
      </w:r>
      <w:r>
        <w:t xml:space="preserve"> </w:t>
      </w:r>
      <w:r>
        <w:t xml:space="preserve">- Editor asks whether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only there to generate baseline sorting and suggests possibly excluding it (1(c)).</w:t>
      </w:r>
    </w:p>
    <w:p>
      <w:pPr>
        <w:pStyle w:val="BodyText"/>
      </w:pPr>
      <w:r>
        <w:rPr>
          <w:b/>
          <w:bCs/>
        </w:rPr>
        <w:t xml:space="preserve">Good meeting line.</w:t>
      </w:r>
      <w:r>
        <w:t xml:space="preserve"> </w:t>
      </w:r>
      <w:r>
        <w:rPr>
          <w:i/>
          <w:iCs/>
        </w:rPr>
        <w:t xml:space="preserve">“We probably need one clean paragraph explaining why near-perfect information at the bidding stage doesn’t kill wage effects.”</w:t>
      </w:r>
    </w:p>
    <w:bookmarkEnd w:id="18"/>
    <w:bookmarkStart w:id="19" w:name="X89a676846b07ab77cf7c15e921540bfcc435266"/>
    <w:p>
      <w:pPr>
        <w:pStyle w:val="Heading3"/>
      </w:pPr>
      <w:r>
        <w:t xml:space="preserve">Theme 3 — Truthtelling: assumption vs equilibrium vs behavioral preference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Referees are uneasy about how truthtelling is justified and how consistently it’s used across theory and empirics.</w:t>
      </w:r>
    </w:p>
    <w:p>
      <w:pPr>
        <w:pStyle w:val="BodyText"/>
      </w:pPr>
      <w:r>
        <w:rPr>
          <w:b/>
          <w:bCs/>
        </w:rPr>
        <w:t xml:space="preserve">What to discuss.</w:t>
      </w:r>
      <w:r>
        <w:t xml:space="preserve"> </w:t>
      </w:r>
      <w:r>
        <w:t xml:space="preserve">- Be explicit: is truthtelling</w:t>
      </w:r>
      <w:r>
        <w:t xml:space="preserve"> </w:t>
      </w:r>
      <w:r>
        <w:t xml:space="preserve">- an equilibrium outcome,</w:t>
      </w:r>
      <w:r>
        <w:t xml:space="preserve"> </w:t>
      </w:r>
      <w:r>
        <w:t xml:space="preserve">- an assumption for the experiment,</w:t>
      </w:r>
      <w:r>
        <w:t xml:space="preserve"> </w:t>
      </w:r>
      <w:r>
        <w:t xml:space="preserve">- or supported by behavioral preferences?</w:t>
      </w:r>
      <w:r>
        <w:t xml:space="preserve"> </w:t>
      </w:r>
      <w:r>
        <w:t xml:space="preserve">- Clean up pooling logic and explain when/why samples are pooled.</w:t>
      </w:r>
      <w:r>
        <w:t xml:space="preserve"> </w:t>
      </w:r>
      <w:r>
        <w:t xml:space="preserve">- Possibly cite truth-telling preference literature to strengthen the argument.</w:t>
      </w:r>
    </w:p>
    <w:p>
      <w:pPr>
        <w:pStyle w:val="BodyText"/>
      </w:pPr>
      <w:r>
        <w:rPr>
          <w:b/>
          <w:bCs/>
        </w:rPr>
        <w:t xml:space="preserve">Evidence / citations.</w:t>
      </w:r>
      <w:r>
        <w:t xml:space="preserve"> </w:t>
      </w:r>
      <w:r>
        <w:t xml:space="preserve">- Editor Additional Comment 4: asks for evidence or citations on truth-telling preferences (Kartik 2009; Abeler et al. 2019).</w:t>
      </w:r>
      <w:r>
        <w:t xml:space="preserve"> </w:t>
      </w:r>
      <w:r>
        <w:t xml:space="preserve">- R2 §2: inconsistency in how truthtelling is treated (assumption vs implication) and pooling logic.</w:t>
      </w:r>
      <w:r>
        <w:t xml:space="preserve"> </w:t>
      </w:r>
      <w:r>
        <w:t xml:space="preserve">- R2 §2a: suggests emphasizing empirical validation of predictions that rely on truthtelling.</w:t>
      </w:r>
    </w:p>
    <w:p>
      <w:pPr>
        <w:pStyle w:val="BodyText"/>
      </w:pPr>
      <w:r>
        <w:rPr>
          <w:b/>
          <w:bCs/>
        </w:rPr>
        <w:t xml:space="preserve">Good meeting line.</w:t>
      </w:r>
      <w:r>
        <w:t xml:space="preserve"> </w:t>
      </w:r>
      <w:r>
        <w:rPr>
          <w:i/>
          <w:iCs/>
        </w:rPr>
        <w:t xml:space="preserve">“We should decide whether truthtelling is doing theoretical work, empirical work, or behavioral work — right now it’s doing all three implicitly.”</w:t>
      </w:r>
    </w:p>
    <w:bookmarkEnd w:id="19"/>
    <w:bookmarkStart w:id="20" w:name="Xc59f9fce31f2b3c1134c02396a39ffa126e5829"/>
    <w:p>
      <w:pPr>
        <w:pStyle w:val="Heading3"/>
      </w:pPr>
      <w:r>
        <w:t xml:space="preserve">Theme 4 — Framing and connection to the modern cheap-talk / matching literature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Referee 3 thinks the paper is strong but slightly</w:t>
      </w:r>
      <w:r>
        <w:t xml:space="preserve"> </w:t>
      </w:r>
      <w:r>
        <w:t xml:space="preserve">“time-shifted”</w:t>
      </w:r>
      <w:r>
        <w:t xml:space="preserve"> </w:t>
      </w:r>
      <w:r>
        <w:t xml:space="preserve">relative to where the literature ended up.</w:t>
      </w:r>
    </w:p>
    <w:p>
      <w:pPr>
        <w:pStyle w:val="BodyText"/>
      </w:pPr>
      <w:r>
        <w:rPr>
          <w:b/>
          <w:bCs/>
        </w:rPr>
        <w:t xml:space="preserve">What to discuss.</w:t>
      </w:r>
      <w:r>
        <w:t xml:space="preserve"> </w:t>
      </w:r>
      <w:r>
        <w:t xml:space="preserve">- Explicitly connect to:</w:t>
      </w:r>
      <w:r>
        <w:t xml:space="preserve"> </w:t>
      </w:r>
      <w:r>
        <w:t xml:space="preserve">- Backus–Blake–Tadelis (2019, JPE),</w:t>
      </w:r>
      <w:r>
        <w:t xml:space="preserve"> </w:t>
      </w:r>
      <w:r>
        <w:t xml:space="preserve">- linkage principle vs incentive-compatible cheap talk,</w:t>
      </w:r>
      <w:r>
        <w:t xml:space="preserve"> </w:t>
      </w:r>
      <w:r>
        <w:t xml:space="preserve">- garbling / partial revelation interpretations.</w:t>
      </w:r>
      <w:r>
        <w:t xml:space="preserve"> </w:t>
      </w:r>
      <w:r>
        <w:t xml:space="preserve">- Clarify how this paper’s empirical tests map onto that framework.</w:t>
      </w:r>
      <w:r>
        <w:t xml:space="preserve"> </w:t>
      </w:r>
      <w:r>
        <w:t xml:space="preserve">- Sharpen what’s new relative to Tadelis &amp; Zettelmeyer (2015).</w:t>
      </w:r>
    </w:p>
    <w:p>
      <w:pPr>
        <w:pStyle w:val="BodyText"/>
      </w:pPr>
      <w:r>
        <w:rPr>
          <w:b/>
          <w:bCs/>
        </w:rPr>
        <w:t xml:space="preserve">Evidence / citations.</w:t>
      </w:r>
      <w:r>
        <w:t xml:space="preserve"> </w:t>
      </w:r>
      <w:r>
        <w:t xml:space="preserve">- Editor Section 2:</w:t>
      </w:r>
      <w:r>
        <w:t xml:space="preserve"> </w:t>
      </w:r>
      <w:r>
        <w:t xml:space="preserve">“improve framing by connecting more directly to the literature.”</w:t>
      </w:r>
      <w:r>
        <w:t xml:space="preserve"> </w:t>
      </w:r>
      <w:r>
        <w:t xml:space="preserve">- R3 §1: detailed discussion of Backus et al. (2019) and how it parallels this paper.</w:t>
      </w:r>
      <w:r>
        <w:t xml:space="preserve"> </w:t>
      </w:r>
      <w:r>
        <w:t xml:space="preserve">- R3 §3: interprets the randomized revelation arm as a garbling device à la Backus et al.</w:t>
      </w:r>
    </w:p>
    <w:p>
      <w:pPr>
        <w:pStyle w:val="BodyText"/>
      </w:pPr>
      <w:r>
        <w:rPr>
          <w:b/>
          <w:bCs/>
        </w:rPr>
        <w:t xml:space="preserve">Good meeting line.</w:t>
      </w:r>
      <w:r>
        <w:t xml:space="preserve"> </w:t>
      </w:r>
      <w:r>
        <w:rPr>
          <w:i/>
          <w:iCs/>
        </w:rPr>
        <w:t xml:space="preserve">“Referee 3 basically wants us to say: here’s how our experiment is an empirical instantiation of modern cheap-talk theory.”</w:t>
      </w:r>
    </w:p>
    <w:bookmarkEnd w:id="20"/>
    <w:bookmarkStart w:id="21" w:name="X400e5333bbb1410585ead660a183b8c3a4b997c"/>
    <w:p>
      <w:pPr>
        <w:pStyle w:val="Heading3"/>
      </w:pPr>
      <w:r>
        <w:t xml:space="preserve">Theme 5 — Wage determination and realism of TIOLI bidding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a realism / external validity concern raised by the editor, not a referee hit.</w:t>
      </w:r>
    </w:p>
    <w:p>
      <w:pPr>
        <w:pStyle w:val="BodyText"/>
      </w:pPr>
      <w:r>
        <w:rPr>
          <w:b/>
          <w:bCs/>
        </w:rPr>
        <w:t xml:space="preserve">What to discuss.</w:t>
      </w:r>
      <w:r>
        <w:t xml:space="preserve"> </w:t>
      </w:r>
      <w:r>
        <w:t xml:space="preserve">- Defend</w:t>
      </w:r>
      <w:r>
        <w:t xml:space="preserve"> </w:t>
      </w:r>
      <w:r>
        <w:t xml:space="preserve">“firm pays the bid”</w:t>
      </w:r>
      <w:r>
        <w:t xml:space="preserve"> </w:t>
      </w:r>
      <w:r>
        <w:t xml:space="preserve">as institutional realism on the platform.</w:t>
      </w:r>
      <w:r>
        <w:t xml:space="preserve"> </w:t>
      </w:r>
      <w:r>
        <w:t xml:space="preserve">- Clarify limits: off-platform bargaining, renegotiation, or selection.</w:t>
      </w:r>
      <w:r>
        <w:t xml:space="preserve"> </w:t>
      </w:r>
      <w:r>
        <w:t xml:space="preserve">- Possibly add a robustness or discussion paragraph.</w:t>
      </w:r>
    </w:p>
    <w:p>
      <w:pPr>
        <w:pStyle w:val="BodyText"/>
      </w:pPr>
      <w:r>
        <w:rPr>
          <w:b/>
          <w:bCs/>
        </w:rPr>
        <w:t xml:space="preserve">Evidence / citations.</w:t>
      </w:r>
      <w:r>
        <w:t xml:space="preserve"> </w:t>
      </w:r>
      <w:r>
        <w:t xml:space="preserve">- Editor Additional Comment 3: explicit concern about realism of wage setting.</w:t>
      </w:r>
    </w:p>
    <w:p>
      <w:pPr>
        <w:pStyle w:val="BodyText"/>
      </w:pPr>
      <w:r>
        <w:rPr>
          <w:b/>
          <w:bCs/>
        </w:rPr>
        <w:t xml:space="preserve">Good meeting line.</w:t>
      </w:r>
      <w:r>
        <w:t xml:space="preserve"> </w:t>
      </w:r>
      <w:r>
        <w:rPr>
          <w:i/>
          <w:iCs/>
        </w:rPr>
        <w:t xml:space="preserve">“This probably doesn’t need new analysis, but it does need a sharper institutional defense.”</w:t>
      </w:r>
    </w:p>
    <w:p>
      <w:pPr>
        <w:pStyle w:val="BodyText"/>
      </w:pPr>
      <w:r>
        <w:rPr>
          <w:i/>
          <w:iCs/>
        </w:rPr>
        <w:t xml:space="preserve">[Peyman’s margin comment on this theme: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“More substantial point, not me.”</w:t>
      </w:r>
      <w:r>
        <w:rPr>
          <w:i/>
          <w:iCs/>
        </w:rPr>
        <w:t xml:space="preserve">]</w:t>
      </w:r>
    </w:p>
    <w:bookmarkEnd w:id="21"/>
    <w:bookmarkStart w:id="22" w:name="X7c6f4350e34a2d5cfddec2a3e7afde80446d57c"/>
    <w:p>
      <w:pPr>
        <w:pStyle w:val="Heading3"/>
      </w:pPr>
      <w:r>
        <w:t xml:space="preserve">Theme 6 — Organization and appendix discipline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AEJ Micro is strict about what lives where.</w:t>
      </w:r>
    </w:p>
    <w:p>
      <w:pPr>
        <w:pStyle w:val="BodyText"/>
      </w:pPr>
      <w:r>
        <w:rPr>
          <w:b/>
          <w:bCs/>
        </w:rPr>
        <w:t xml:space="preserve">What to discuss.</w:t>
      </w:r>
      <w:r>
        <w:t xml:space="preserve"> </w:t>
      </w:r>
      <w:r>
        <w:t xml:space="preserve">- Decide what absolutely must be in:</w:t>
      </w:r>
      <w:r>
        <w:t xml:space="preserve"> </w:t>
      </w:r>
      <w:r>
        <w:t xml:space="preserve">- main text,</w:t>
      </w:r>
      <w:r>
        <w:t xml:space="preserve"> </w:t>
      </w:r>
      <w:r>
        <w:t xml:space="preserve">- main appendix (in-print),</w:t>
      </w:r>
      <w:r>
        <w:t xml:space="preserve"> </w:t>
      </w:r>
      <w:r>
        <w:t xml:space="preserve">- supplementary appendix.</w:t>
      </w:r>
      <w:r>
        <w:t xml:space="preserve"> </w:t>
      </w:r>
      <w:r>
        <w:t xml:space="preserve">- Ensure Proposition 1 can be understood without appendix-hopping.</w:t>
      </w:r>
    </w:p>
    <w:p>
      <w:pPr>
        <w:pStyle w:val="BodyText"/>
      </w:pPr>
      <w:r>
        <w:rPr>
          <w:b/>
          <w:bCs/>
        </w:rPr>
        <w:t xml:space="preserve">Evidence / citations.</w:t>
      </w:r>
      <w:r>
        <w:t xml:space="preserve"> </w:t>
      </w:r>
      <w:r>
        <w:t xml:space="preserve">- Editor 1(d): strong guidance on appendix structure.</w:t>
      </w:r>
      <w:r>
        <w:t xml:space="preserve"> </w:t>
      </w:r>
      <w:r>
        <w:t xml:space="preserve">- R2 §1.e: frustration with flipping between body and appendices.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86d6e649eb99c9d249a249bc38869a215fbc430"/>
    <w:p>
      <w:pPr>
        <w:pStyle w:val="Heading2"/>
      </w:pPr>
      <w:r>
        <w:t xml:space="preserve">Part IV — The GPT</w:t>
      </w:r>
      <w:r>
        <w:t xml:space="preserve"> </w:t>
      </w:r>
      <w:r>
        <w:t xml:space="preserve">“Revision Roadmap”</w:t>
      </w:r>
      <w:r>
        <w:t xml:space="preserve"> </w:t>
      </w:r>
      <w:r>
        <w:t xml:space="preserve">(proposed pre-meeting plan)</w:t>
      </w:r>
    </w:p>
    <w:p>
      <w:pPr>
        <w:pStyle w:val="FirstParagraph"/>
      </w:pPr>
      <w:r>
        <w:t xml:space="preserve">The second half of the meeting-prep packet (IMG_2389–IMG_2391) was a proposed roadmap GPT generated. It is reproduced below for completeness. Note that some items were revised at the meeting — see Part V for where the final plan diverged from this.</w:t>
      </w:r>
    </w:p>
    <w:bookmarkStart w:id="24" w:name="Xa99f8bceb5ccd3c427e51724ce4ac18701934bc"/>
    <w:p>
      <w:pPr>
        <w:pStyle w:val="Heading3"/>
      </w:pPr>
      <w:r>
        <w:t xml:space="preserve">1. Rebuild the Model Section for Clarity and Self-Containment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Make the model readable, teachable, and AEJ-Micro-grade without changing its economics.</w:t>
      </w:r>
    </w:p>
    <w:p>
      <w:pPr>
        <w:pStyle w:val="BodyText"/>
      </w:pPr>
      <w:r>
        <w:rPr>
          <w:b/>
          <w:bCs/>
        </w:rPr>
        <w:t xml:space="preserve">Planned changes.</w:t>
      </w:r>
      <w:r>
        <w:t xml:space="preserve"> </w:t>
      </w:r>
      <w:r>
        <w:t xml:space="preserve">- Split the current model section into:</w:t>
      </w:r>
      <w:r>
        <w:t xml:space="preserve"> </w:t>
      </w:r>
      <w:r>
        <w:t xml:space="preserve">- Formal model (definitions, timing, payoffs, equilibrium concept), and</w:t>
      </w:r>
      <w:r>
        <w:t xml:space="preserve"> </w:t>
      </w:r>
      <w:r>
        <w:t xml:space="preserve">- Economic intuition (why decisions affect sorting, wages, and efficiency).</w:t>
      </w:r>
      <w:r>
        <w:t xml:space="preserve"> </w:t>
      </w:r>
      <w:r>
        <w:t xml:space="preserve">- Move all intuition, motivation, and</w:t>
      </w:r>
      <w:r>
        <w:t xml:space="preserve"> </w:t>
      </w:r>
      <w:r>
        <w:t xml:space="preserve">“why this assumption”</w:t>
      </w:r>
      <w:r>
        <w:t xml:space="preserve"> </w:t>
      </w:r>
      <w:r>
        <w:t xml:space="preserve">language out of the formal setup.</w:t>
      </w:r>
      <w:r>
        <w:t xml:space="preserve"> </w:t>
      </w:r>
      <w:r>
        <w:t xml:space="preserve">- Eliminate defensive writing and alternative modeling digressions.</w:t>
      </w:r>
      <w:r>
        <w:t xml:space="preserve"> </w:t>
      </w:r>
      <w:r>
        <w:t xml:space="preserve">- Clearly define:</w:t>
      </w:r>
      <w:r>
        <w:t xml:space="preserve"> </w:t>
      </w:r>
      <w:r>
        <w:t xml:space="preserve">“large market”</w:t>
      </w:r>
      <w:r>
        <w:t xml:space="preserve"> </w:t>
      </w:r>
      <w:r>
        <w:t xml:space="preserve">and Poisson queues; job and worker types; signals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; truthtelling and babbling equilibria.</w:t>
      </w:r>
      <w:r>
        <w:t xml:space="preserve"> </w:t>
      </w:r>
      <w:r>
        <w:t xml:space="preserve">- Reorder sections so truthtelling and equilibrium logic appear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Proposition 1.</w:t>
      </w:r>
      <w:r>
        <w:t xml:space="preserve"> </w:t>
      </w:r>
      <w:r>
        <w:t xml:space="preserve">- Ensure the</w:t>
      </w:r>
      <w:r>
        <w:t xml:space="preserve"> </w:t>
      </w:r>
      <w:r>
        <w:rPr>
          <w:b/>
          <w:bCs/>
        </w:rPr>
        <w:t xml:space="preserve">main text + main appendix</w:t>
      </w:r>
      <w:r>
        <w:t xml:space="preserve"> </w:t>
      </w:r>
      <w:r>
        <w:t xml:space="preserve">(together) are fully self-contained; push technical details to the</w:t>
      </w:r>
      <w:r>
        <w:t xml:space="preserve"> </w:t>
      </w:r>
      <w:r>
        <w:rPr>
          <w:b/>
          <w:bCs/>
        </w:rPr>
        <w:t xml:space="preserve">supplementary appendix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Payoff.</w:t>
      </w:r>
      <w:r>
        <w:t xml:space="preserve"> </w:t>
      </w:r>
      <w:r>
        <w:t xml:space="preserve">Addresses the editor’s primary concern. Aligns the paper with AEJ Micro’s expectations for theoretically grounded empirical work.</w:t>
      </w:r>
    </w:p>
    <w:bookmarkEnd w:id="24"/>
    <w:bookmarkStart w:id="25" w:name="Xf8fb4c053a902cdfd5931542a85076367fbd28d"/>
    <w:p>
      <w:pPr>
        <w:pStyle w:val="Heading3"/>
      </w:pPr>
      <w:r>
        <w:t xml:space="preserve">2. Clarify the Role of the Second Signal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Wage Effects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Resolve the key conceptual tension in the model.</w:t>
      </w:r>
    </w:p>
    <w:p>
      <w:pPr>
        <w:pStyle w:val="BodyText"/>
      </w:pPr>
      <w:r>
        <w:rPr>
          <w:b/>
          <w:bCs/>
        </w:rPr>
        <w:t xml:space="preserve">Planned changes.</w:t>
      </w:r>
      <w:r>
        <w:t xml:space="preserve"> </w:t>
      </w:r>
      <w:r>
        <w:t xml:space="preserve">- Explicitly explain why near-perfect information at the bidding stage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eliminate wage effects. Emphasize equilibrium competition, queue composition, and conditional bidding rather than pure informational effects.</w:t>
      </w:r>
      <w:r>
        <w:t xml:space="preserve"> </w:t>
      </w:r>
      <w:r>
        <w:t xml:space="preserve">- Either:</w:t>
      </w:r>
      <w:r>
        <w:t xml:space="preserve"> </w:t>
      </w:r>
      <w:r>
        <w:t xml:space="preserve">- relax the</w:t>
      </w:r>
      <w:r>
        <w:t xml:space="preserve"> </w:t>
      </w:r>
      <w:r>
        <w:t xml:space="preserve">“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close to 1”</w:t>
      </w:r>
      <w:r>
        <w:t xml:space="preserve"> </w:t>
      </w:r>
      <w:r>
        <w:t xml:space="preserve">language, or</w:t>
      </w:r>
      <w:r>
        <w:t xml:space="preserve"> </w:t>
      </w:r>
      <w:r>
        <w:t xml:space="preserve">- explain it as a modeling shortcut that preserves wage dispersion.</w:t>
      </w:r>
      <w:r>
        <w:t xml:space="preserve"> </w:t>
      </w:r>
      <w:r>
        <w:t xml:space="preserve">- Clarify the role of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; consider removing it from the baseline if it only serves to generate sorting absent cheap talk.</w:t>
      </w:r>
    </w:p>
    <w:p>
      <w:pPr>
        <w:pStyle w:val="BodyText"/>
      </w:pPr>
      <w:r>
        <w:rPr>
          <w:b/>
          <w:bCs/>
        </w:rPr>
        <w:t xml:space="preserve">Payoff.</w:t>
      </w:r>
      <w:r>
        <w:t xml:space="preserve"> </w:t>
      </w:r>
      <w:r>
        <w:t xml:space="preserve">Directly addresses Referee 2’s strongest critique. Aligns the theory with observed wage responses in the experiment.</w:t>
      </w:r>
    </w:p>
    <w:bookmarkEnd w:id="25"/>
    <w:bookmarkStart w:id="26" w:name="Xf301fe6440b4da09021ad14344722be909643fb"/>
    <w:p>
      <w:pPr>
        <w:pStyle w:val="Heading3"/>
      </w:pPr>
      <w:r>
        <w:t xml:space="preserve">3. Make Truthtelling Assumptions Explicit and Consistent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Eliminate ambiguity about what drives truthful communication.</w:t>
      </w:r>
    </w:p>
    <w:p>
      <w:pPr>
        <w:pStyle w:val="BodyText"/>
      </w:pPr>
      <w:r>
        <w:rPr>
          <w:b/>
          <w:bCs/>
        </w:rPr>
        <w:t xml:space="preserve">Planned changes.</w:t>
      </w:r>
      <w:r>
        <w:t xml:space="preserve"> </w:t>
      </w:r>
      <w:r>
        <w:t xml:space="preserve">- Clearly distinguish truthtelling as:</w:t>
      </w:r>
      <w:r>
        <w:t xml:space="preserve"> </w:t>
      </w:r>
      <w:r>
        <w:t xml:space="preserve">- an equilibrium outcome,</w:t>
      </w:r>
      <w:r>
        <w:t xml:space="preserve"> </w:t>
      </w:r>
      <w:r>
        <w:t xml:space="preserve">- an empirical assumption in the experiment,</w:t>
      </w:r>
      <w:r>
        <w:t xml:space="preserve"> </w:t>
      </w:r>
      <w:r>
        <w:t xml:space="preserve">- and truthtelling as a possible behavioral preference.</w:t>
      </w:r>
      <w:r>
        <w:t xml:space="preserve"> </w:t>
      </w:r>
      <w:r>
        <w:t xml:space="preserve">- Standardize how pooling across treatment arms is justified and explained.</w:t>
      </w:r>
      <w:r>
        <w:t xml:space="preserve"> </w:t>
      </w:r>
      <w:r>
        <w:t xml:space="preserve">- Add brief discussion (and citations) on truth-telling preferences to clarify how behavioral forces might complement equilibrium logic.</w:t>
      </w:r>
    </w:p>
    <w:p>
      <w:pPr>
        <w:pStyle w:val="BodyText"/>
      </w:pPr>
      <w:r>
        <w:rPr>
          <w:b/>
          <w:bCs/>
        </w:rPr>
        <w:t xml:space="preserve">Payoff.</w:t>
      </w:r>
      <w:r>
        <w:t xml:space="preserve"> </w:t>
      </w:r>
      <w:r>
        <w:t xml:space="preserve">Removes confusion flagged by Referee 2. Strengthens the interpretation of the empirical validation of the theory.</w:t>
      </w:r>
    </w:p>
    <w:bookmarkEnd w:id="26"/>
    <w:bookmarkStart w:id="27" w:name="X2d7c316a2e6dd8507cb392d888e6fb78a895de1"/>
    <w:p>
      <w:pPr>
        <w:pStyle w:val="Heading3"/>
      </w:pPr>
      <w:r>
        <w:t xml:space="preserve">4. Sharpen Framing and Literature Positioning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Update the paper’s positioning relative to the modern cheap-talk and matching literature.</w:t>
      </w:r>
    </w:p>
    <w:p>
      <w:pPr>
        <w:pStyle w:val="BodyText"/>
      </w:pPr>
      <w:r>
        <w:rPr>
          <w:b/>
          <w:bCs/>
        </w:rPr>
        <w:t xml:space="preserve">Planned changes.</w:t>
      </w:r>
      <w:r>
        <w:t xml:space="preserve"> </w:t>
      </w:r>
      <w:r>
        <w:t xml:space="preserve">- Explicitly connect the model and experiment to:</w:t>
      </w:r>
      <w:r>
        <w:t xml:space="preserve"> </w:t>
      </w:r>
      <w:r>
        <w:t xml:space="preserve">- Backus, Blake &amp; Tadelis (2019),</w:t>
      </w:r>
      <w:r>
        <w:t xml:space="preserve"> </w:t>
      </w:r>
      <w:r>
        <w:t xml:space="preserve">- linkage principle vs incentive-compatible cheap talk,</w:t>
      </w:r>
      <w:r>
        <w:t xml:space="preserve"> </w:t>
      </w:r>
      <w:r>
        <w:t xml:space="preserve">- garbling and partial revelation interpretations.</w:t>
      </w:r>
      <w:r>
        <w:t xml:space="preserve"> </w:t>
      </w:r>
      <w:r>
        <w:t xml:space="preserve">- Clarify what is novel relative to Tadelis &amp; Zettelmeyer (2015).</w:t>
      </w:r>
      <w:r>
        <w:t xml:space="preserve"> </w:t>
      </w:r>
      <w:r>
        <w:t xml:space="preserve">- Frame the experiment as an empirical test of incentive-compatible cheap talk with endogenous sorting.</w:t>
      </w:r>
    </w:p>
    <w:p>
      <w:pPr>
        <w:pStyle w:val="BodyText"/>
      </w:pPr>
      <w:r>
        <w:rPr>
          <w:b/>
          <w:bCs/>
        </w:rPr>
        <w:t xml:space="preserve">Payoff.</w:t>
      </w:r>
      <w:r>
        <w:t xml:space="preserve"> </w:t>
      </w:r>
      <w:r>
        <w:t xml:space="preserve">Responds directly to Referee 3 and the editor. Positions the paper as part of the current frontier, not an earlier generation of signaling models.</w:t>
      </w:r>
    </w:p>
    <w:bookmarkEnd w:id="27"/>
    <w:bookmarkStart w:id="28" w:name="Xec38a16905e6af73be5ec4580386c8651924f0c"/>
    <w:p>
      <w:pPr>
        <w:pStyle w:val="Heading3"/>
      </w:pPr>
      <w:r>
        <w:t xml:space="preserve">5. Defend Wage Determination and Platform Institutions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Address realism and external validity concerns without expanding the model.</w:t>
      </w:r>
    </w:p>
    <w:p>
      <w:pPr>
        <w:pStyle w:val="BodyText"/>
      </w:pPr>
      <w:r>
        <w:rPr>
          <w:b/>
          <w:bCs/>
        </w:rPr>
        <w:t xml:space="preserve">Planned changes.</w:t>
      </w:r>
      <w:r>
        <w:t xml:space="preserve"> </w:t>
      </w:r>
      <w:r>
        <w:t xml:space="preserve">- Clarify why</w:t>
      </w:r>
      <w:r>
        <w:t xml:space="preserve"> </w:t>
      </w:r>
      <w:r>
        <w:t xml:space="preserve">“firm pays the bid”</w:t>
      </w:r>
      <w:r>
        <w:t xml:space="preserve"> </w:t>
      </w:r>
      <w:r>
        <w:t xml:space="preserve">accurately reflects platform rules.</w:t>
      </w:r>
      <w:r>
        <w:t xml:space="preserve"> </w:t>
      </w:r>
      <w:r>
        <w:t xml:space="preserve">- Discuss limits to off-platform bargaining and renegotiation.</w:t>
      </w:r>
      <w:r>
        <w:t xml:space="preserve"> </w:t>
      </w:r>
      <w:r>
        <w:t xml:space="preserve">- Add a short robustness / institutional discussion paragraph.</w:t>
      </w:r>
    </w:p>
    <w:p>
      <w:pPr>
        <w:pStyle w:val="BodyText"/>
      </w:pPr>
      <w:r>
        <w:rPr>
          <w:b/>
          <w:bCs/>
        </w:rPr>
        <w:t xml:space="preserve">Payoff.</w:t>
      </w:r>
      <w:r>
        <w:t xml:space="preserve"> </w:t>
      </w:r>
      <w:r>
        <w:t xml:space="preserve">Satisfies editor concerns with minimal additional analysis.</w:t>
      </w:r>
    </w:p>
    <w:bookmarkEnd w:id="28"/>
    <w:bookmarkStart w:id="29" w:name="clean-up-consistency-and-presentation"/>
    <w:p>
      <w:pPr>
        <w:pStyle w:val="Heading3"/>
      </w:pPr>
      <w:r>
        <w:t xml:space="preserve">6. Clean-Up, Consistency, and Presentation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Remove distractions and friction.</w:t>
      </w:r>
    </w:p>
    <w:p>
      <w:pPr>
        <w:pStyle w:val="BodyText"/>
      </w:pPr>
      <w:r>
        <w:rPr>
          <w:b/>
          <w:bCs/>
        </w:rPr>
        <w:t xml:space="preserve">Planned changes.</w:t>
      </w:r>
      <w:r>
        <w:t xml:space="preserve"> </w:t>
      </w:r>
      <w:r>
        <w:t xml:space="preserve">- Fix terminology, notation, typos, and figure ordering.</w:t>
      </w:r>
      <w:r>
        <w:t xml:space="preserve"> </w:t>
      </w:r>
      <w:r>
        <w:t xml:space="preserve">- Standardize references and citation clarity.</w:t>
      </w:r>
      <w:r>
        <w:t xml:space="preserve"> </w:t>
      </w:r>
      <w:r>
        <w:t xml:space="preserve">- Improve exposition around the</w:t>
      </w:r>
      <w:r>
        <w:t xml:space="preserve"> </w:t>
      </w:r>
      <w:r>
        <w:t xml:space="preserve">“market vs marketplace”</w:t>
      </w:r>
      <w:r>
        <w:t xml:space="preserve"> </w:t>
      </w:r>
      <w:r>
        <w:t xml:space="preserve">distinction.</w:t>
      </w:r>
    </w:p>
    <w:p>
      <w:pPr>
        <w:pStyle w:val="BodyText"/>
      </w:pPr>
      <w:r>
        <w:rPr>
          <w:b/>
          <w:bCs/>
        </w:rPr>
        <w:t xml:space="preserve">Payoff.</w:t>
      </w:r>
      <w:r>
        <w:t xml:space="preserve"> </w:t>
      </w:r>
      <w:r>
        <w:t xml:space="preserve">Low effort, high polish. Signals seriousness and responsiveness.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ed3858f1eb35adb51274640a2f98150cc417d2"/>
    <w:p>
      <w:pPr>
        <w:pStyle w:val="Heading2"/>
      </w:pPr>
      <w:r>
        <w:t xml:space="preserve">Part V — What Actually Got Decided at the Meeting</w:t>
      </w:r>
    </w:p>
    <w:p>
      <w:pPr>
        <w:pStyle w:val="FirstParagraph"/>
      </w:pPr>
      <w:r>
        <w:t xml:space="preserve">Reading Part I (the handwritten directives from IMG_2392) against the pre-meeting roadmap (Part IV), the meeting’s decisions can be summarized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Pre-meeting GPT roadmap</w:t>
            </w:r>
          </w:p>
        </w:tc>
        <w:tc>
          <w:tcPr/>
          <w:p>
            <w:pPr>
              <w:pStyle w:val="Compact"/>
            </w:pPr>
            <w:r>
              <w:t xml:space="preserve">Meeting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structure</w:t>
            </w:r>
          </w:p>
        </w:tc>
        <w:tc>
          <w:tcPr/>
          <w:p>
            <w:pPr>
              <w:pStyle w:val="Compact"/>
            </w:pPr>
            <w:r>
              <w:t xml:space="preserve">“Split formal model vs intuition”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“main text + main appendix fully self-contained”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Further than GPT proposed</w:t>
            </w:r>
            <w:r>
              <w:t xml:space="preserve">:</w:t>
            </w:r>
            <w:r>
              <w:t xml:space="preserve"> </w:t>
            </w:r>
            <w:r>
              <w:t xml:space="preserve">“new version → not much equations.”</w:t>
            </w:r>
            <w:r>
              <w:t xml:space="preserve"> </w:t>
            </w:r>
            <w:r>
              <w:t xml:space="preserve">Main text should contain only FOCs + comparative statics. Everything else is appendix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Robustness / generality</w:t>
            </w:r>
          </w:p>
        </w:tc>
        <w:tc>
          <w:tcPr/>
          <w:p>
            <w:pPr>
              <w:pStyle w:val="Compact"/>
            </w:pPr>
            <w:r>
              <w:t xml:space="preserve">“Eliminate defensive writing”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“push technical details to supplementary appendix”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“Group all robustness to appendix.”</w:t>
            </w:r>
            <w:r>
              <w:t xml:space="preserve"> </w:t>
            </w:r>
            <w:r>
              <w:t xml:space="preserve">Not just trimmed — moved wholesale.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signal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“Relax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close to 1 language or explain as modeling shortcut”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Moved to appendix, not eliminated</w:t>
            </w:r>
            <w:r>
              <w:t xml:space="preserve"> </w:t>
            </w:r>
            <w:r>
              <w:t xml:space="preserve">(still needed for comparative statics). So the GPT’s two options become one: relocate rather than defend in the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(not addressed by GPT)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takes the first pass; Peyman takes a second look.</w:t>
            </w:r>
            <w:r>
              <w:t xml:space="preserve"> </w:t>
            </w:r>
            <w:r>
              <w:t xml:space="preserve">This was the biggest procedural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Themes 3, 4, 5, 6 on the roadmap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explicitly decided in the handwritten notes.</w:t>
            </w:r>
            <w:r>
              <w:t xml:space="preserve"> </w:t>
            </w:r>
            <w:r>
              <w:t xml:space="preserve">These are presumed to remain on the to-do list but are not Peyman’s immediate responsibility — they come after the structural rewrite of the model.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 of the meeting:</w:t>
      </w:r>
      <w:r>
        <w:t xml:space="preserve"> </w:t>
      </w:r>
      <w:r>
        <w:t xml:space="preserve">the revision strategy is first and foremost a radical restructure of the model section — body = FOCs + comparative statics only, everything else to the appendix, driven by reverting to an earlier</w:t>
      </w:r>
      <w:r>
        <w:t xml:space="preserve"> </w:t>
      </w:r>
      <w:r>
        <w:t xml:space="preserve">“standalone theory”</w:t>
      </w:r>
      <w:r>
        <w:t xml:space="preserve"> </w:t>
      </w:r>
      <w:r>
        <w:t xml:space="preserve">version of the paper (which is what</w:t>
      </w:r>
      <w:r>
        <w:t xml:space="preserve"> </w:t>
      </w:r>
      <w:r>
        <w:rPr>
          <w:rStyle w:val="VerbatimChar"/>
        </w:rPr>
        <w:t xml:space="preserve">hot_towel_backupPK03-28-22.tex</w:t>
      </w:r>
      <w:r>
        <w:t xml:space="preserve"> </w:t>
      </w:r>
      <w:r>
        <w:t xml:space="preserve">is). Themes 3–6 from the GPT memo remain valid but are downstream work.</w:t>
      </w:r>
    </w:p>
    <w:p>
      <w:r>
        <w:pict>
          <v:rect style="width:0;height:1.5pt" o:hralign="center" o:hrstd="t" o:hr="t"/>
        </w:pict>
      </w:r>
    </w:p>
    <w:bookmarkEnd w:id="31"/>
    <w:bookmarkStart w:id="35" w:name="X81f0b8b8c21f22dadc9e861b3bbb8d712dda8fe"/>
    <w:p>
      <w:pPr>
        <w:pStyle w:val="Heading2"/>
      </w:pPr>
      <w:r>
        <w:t xml:space="preserve">Part VI — Peyman’s Personal To-Do List (reconstructed)</w:t>
      </w:r>
    </w:p>
    <w:p>
      <w:pPr>
        <w:pStyle w:val="FirstParagraph"/>
      </w:pPr>
      <w:r>
        <w:t xml:space="preserve">Combining the handwritten page directive (</w:t>
      </w:r>
      <w:r>
        <w:t xml:space="preserve">“I take a look”</w:t>
      </w:r>
      <w:r>
        <w:t xml:space="preserve">) with the margin</w:t>
      </w:r>
      <w:r>
        <w:t xml:space="preserve"> </w:t>
      </w:r>
      <w:r>
        <w:t xml:space="preserve">“for Peyman”</w:t>
      </w:r>
      <w:r>
        <w:t xml:space="preserve"> </w:t>
      </w:r>
      <w:r>
        <w:t xml:space="preserve">tags:</w:t>
      </w:r>
    </w:p>
    <w:bookmarkStart w:id="32" w:name="definitely-peymans"/>
    <w:p>
      <w:pPr>
        <w:pStyle w:val="Heading3"/>
      </w:pPr>
      <w:r>
        <w:t xml:space="preserve">Definitely Peyman’s</w:t>
      </w:r>
    </w:p>
    <w:p>
      <w:pPr>
        <w:pStyle w:val="Compact"/>
        <w:numPr>
          <w:ilvl w:val="0"/>
          <w:numId w:val="1007"/>
        </w:numPr>
      </w:pPr>
      <w:r>
        <w:t xml:space="preserve">After John’s first pass,</w:t>
      </w:r>
      <w:r>
        <w:t xml:space="preserve"> </w:t>
      </w:r>
      <w:r>
        <w:rPr>
          <w:b/>
          <w:bCs/>
        </w:rPr>
        <w:t xml:space="preserve">review the model section rewrite</w:t>
      </w:r>
      <w:r>
        <w:t xml:space="preserve"> </w:t>
      </w:r>
      <w:r>
        <w:t xml:space="preserve">to ensure: only FOCs + comparative statics in body; robustness moved to appendix; second signal relocated but still serving comparative statics.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 §2a</w:t>
      </w:r>
      <w:r>
        <w:t xml:space="preserve"> </w:t>
      </w:r>
      <w:r>
        <w:t xml:space="preserve">— write the passage emphasizing that several empirically validated predictions rely on truthtelling, which provides additional support for the assumption.</w:t>
      </w:r>
      <w:r>
        <w:t xml:space="preserve"> </w:t>
      </w:r>
      <w:r>
        <w:rPr>
          <w:i/>
          <w:iCs/>
        </w:rPr>
        <w:t xml:space="preserve">Peyman noted:</w:t>
      </w:r>
      <w:r>
        <w:rPr>
          <w:i/>
          <w:iCs/>
        </w:rPr>
        <w:t xml:space="preserve"> </w:t>
      </w:r>
      <w:r>
        <w:rPr>
          <w:i/>
          <w:iCs/>
        </w:rPr>
        <w:t xml:space="preserve">“Nice! Can do.”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 §2b</w:t>
      </w:r>
      <w:r>
        <w:t xml:space="preserve"> </w:t>
      </w:r>
      <w:r>
        <w:t xml:space="preserve">— reconcile the inconsistent pooling choice across Figure 1, Figure 4, and Section V.E.</w:t>
      </w:r>
      <w:r>
        <w:t xml:space="preserve"> </w:t>
      </w:r>
      <w:r>
        <w:rPr>
          <w:i/>
          <w:iCs/>
        </w:rPr>
        <w:t xml:space="preserve">Peyman’s</w:t>
      </w:r>
      <w:r>
        <w:rPr>
          <w:i/>
          <w:iCs/>
        </w:rPr>
        <w:t xml:space="preserve"> </w:t>
      </w:r>
      <w:r>
        <w:rPr>
          <w:i/>
          <w:iCs/>
        </w:rPr>
        <w:t xml:space="preserve">“?”</w:t>
      </w:r>
      <w:r>
        <w:rPr>
          <w:i/>
          <w:iCs/>
        </w:rPr>
        <w:t xml:space="preserve"> </w:t>
      </w:r>
      <w:r>
        <w:rPr>
          <w:i/>
          <w:iCs/>
        </w:rPr>
        <w:t xml:space="preserve">— needs thought.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 §2c</w:t>
      </w:r>
      <w:r>
        <w:t xml:space="preserve"> </w:t>
      </w:r>
      <w:r>
        <w:t xml:space="preserve">— state the truthtelling assumption more explicitly and consistently, reconciling the introduction’s</w:t>
      </w:r>
      <w:r>
        <w:t xml:space="preserve"> </w:t>
      </w:r>
      <w:r>
        <w:t xml:space="preserve">“behavioral plausibility”</w:t>
      </w:r>
      <w:r>
        <w:t xml:space="preserve"> </w:t>
      </w:r>
      <w:r>
        <w:t xml:space="preserve">framing with the main text’s</w:t>
      </w:r>
      <w:r>
        <w:t xml:space="preserve"> </w:t>
      </w:r>
      <w:r>
        <w:t xml:space="preserve">“imposed assumption”</w:t>
      </w:r>
      <w:r>
        <w:t xml:space="preserve"> </w:t>
      </w:r>
      <w:r>
        <w:t xml:space="preserve">framing.</w:t>
      </w:r>
      <w:r>
        <w:t xml:space="preserve"> </w:t>
      </w:r>
      <w:r>
        <w:rPr>
          <w:i/>
          <w:iCs/>
        </w:rPr>
        <w:t xml:space="preserve">Peyman’s</w:t>
      </w:r>
      <w:r>
        <w:rPr>
          <w:i/>
          <w:iCs/>
        </w:rPr>
        <w:t xml:space="preserve"> </w:t>
      </w:r>
      <w:r>
        <w:rPr>
          <w:i/>
          <w:iCs/>
        </w:rPr>
        <w:t xml:space="preserve">“??”</w:t>
      </w:r>
      <w:r>
        <w:rPr>
          <w:i/>
          <w:iCs/>
        </w:rPr>
        <w:t xml:space="preserve"> </w:t>
      </w:r>
      <w:r>
        <w:rPr>
          <w:i/>
          <w:iCs/>
        </w:rPr>
        <w:t xml:space="preserve">— may need coauthor input.</w:t>
      </w:r>
    </w:p>
    <w:bookmarkEnd w:id="32"/>
    <w:bookmarkStart w:id="33" w:name="not-peymans-flagged-in-margins"/>
    <w:p>
      <w:pPr>
        <w:pStyle w:val="Heading3"/>
      </w:pPr>
      <w:r>
        <w:t xml:space="preserve">Not Peyman’s (flagged in margins)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Editor Additional Comment 3</w:t>
      </w:r>
      <w:r>
        <w:t xml:space="preserve"> </w:t>
      </w:r>
      <w:r>
        <w:t xml:space="preserve">(wage determination /</w:t>
      </w:r>
      <w:r>
        <w:t xml:space="preserve"> </w:t>
      </w:r>
      <w:r>
        <w:t xml:space="preserve">“firm pays the bid”</w:t>
      </w:r>
      <w:r>
        <w:t xml:space="preserve"> </w:t>
      </w:r>
      <w:r>
        <w:t xml:space="preserve">realism) —</w:t>
      </w:r>
      <w:r>
        <w:t xml:space="preserve"> </w:t>
      </w:r>
      <w:r>
        <w:rPr>
          <w:i/>
          <w:iCs/>
        </w:rPr>
        <w:t xml:space="preserve">“More substantial point, not me.”</w:t>
      </w:r>
      <w:r>
        <w:t xml:space="preserve"> </w:t>
      </w:r>
      <w:r>
        <w:t xml:space="preserve">Needs one of the coauthors.</w:t>
      </w:r>
    </w:p>
    <w:p>
      <w:pPr>
        <w:pStyle w:val="Compact"/>
        <w:numPr>
          <w:ilvl w:val="0"/>
          <w:numId w:val="1008"/>
        </w:numPr>
      </w:pPr>
      <w:r>
        <w:t xml:space="preserve">The big conceptual defense of the second signal and its relationship to wage effects — although Peyman’s downstream work (reviewing the rewrite) will have to check that this is handled.</w:t>
      </w:r>
    </w:p>
    <w:bookmarkEnd w:id="33"/>
    <w:bookmarkStart w:id="34" w:name="X21bddcc0ca8dad312dec708b67f3d549e465bc2"/>
    <w:p>
      <w:pPr>
        <w:pStyle w:val="Heading3"/>
      </w:pPr>
      <w:r>
        <w:t xml:space="preserve">Open questions Peyman flagged in margins but didn’t assign</w:t>
      </w:r>
    </w:p>
    <w:p>
      <w:pPr>
        <w:pStyle w:val="Compact"/>
        <w:numPr>
          <w:ilvl w:val="0"/>
          <w:numId w:val="1009"/>
        </w:numPr>
      </w:pPr>
      <w:r>
        <w:t xml:space="preserve">Whether to delegate all robustness / generalizations to the end of the paper.</w:t>
      </w:r>
      <w:r>
        <w:t xml:space="preserve"> </w:t>
      </w:r>
      <w:r>
        <w:rPr>
          <w:i/>
          <w:iCs/>
        </w:rPr>
        <w:t xml:space="preserve">(Answered at the meeting: yes.)</w:t>
      </w:r>
    </w:p>
    <w:p>
      <w:pPr>
        <w:pStyle w:val="Compact"/>
        <w:numPr>
          <w:ilvl w:val="0"/>
          <w:numId w:val="1009"/>
        </w:numPr>
      </w:pPr>
      <w:r>
        <w:t xml:space="preserve">The R2 §3 /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paradox — why does the model still produce non-trivial wage effects when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nearly 1? Needs a crisp explanation somewhere, even if the math is in the appendix.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endix-source-inventory"/>
    <w:p>
      <w:pPr>
        <w:pStyle w:val="Heading2"/>
      </w:pPr>
      <w:r>
        <w:t xml:space="preserve">Appendix: Source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Key annotations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meeting_prep/IMG_2385</w:t>
            </w:r>
          </w:p>
        </w:tc>
        <w:tc>
          <w:tcPr/>
          <w:p>
            <w:pPr>
              <w:pStyle w:val="Compact"/>
            </w:pPr>
            <w:r>
              <w:t xml:space="preserve">GPT memo p.1 — Themes 1 &amp; 2 start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meeting_prep/IMG_2386</w:t>
            </w:r>
          </w:p>
        </w:tc>
        <w:tc>
          <w:tcPr/>
          <w:p>
            <w:pPr>
              <w:pStyle w:val="Compact"/>
            </w:pPr>
            <w:r>
              <w:t xml:space="preserve">GPT memo p.2 — Theme 2 end, Theme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meeting_prep/IMG_2387</w:t>
            </w:r>
          </w:p>
        </w:tc>
        <w:tc>
          <w:tcPr/>
          <w:p>
            <w:pPr>
              <w:pStyle w:val="Compact"/>
            </w:pPr>
            <w:r>
              <w:t xml:space="preserve">GPT memo p.3 — Themes 4 &amp; 5 start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meeting_prep/IMG_2388</w:t>
            </w:r>
          </w:p>
        </w:tc>
        <w:tc>
          <w:tcPr/>
          <w:p>
            <w:pPr>
              <w:pStyle w:val="Compact"/>
            </w:pPr>
            <w:r>
              <w:t xml:space="preserve">GPT memo p.4 — Theme 5 end, Theme 6,</w:t>
            </w:r>
            <w:r>
              <w:t xml:space="preserve"> </w:t>
            </w:r>
            <w:r>
              <w:t xml:space="preserve">“How to use this”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meeting_prep/IMG_2389</w:t>
            </w:r>
          </w:p>
        </w:tc>
        <w:tc>
          <w:tcPr/>
          <w:p>
            <w:pPr>
              <w:pStyle w:val="Compact"/>
            </w:pPr>
            <w:r>
              <w:t xml:space="preserve">Revision Roadmap items 1 &amp;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meeting_prep/IMG_2390</w:t>
            </w:r>
          </w:p>
        </w:tc>
        <w:tc>
          <w:tcPr/>
          <w:p>
            <w:pPr>
              <w:pStyle w:val="Compact"/>
            </w:pPr>
            <w:r>
              <w:t xml:space="preserve">Roadmap items 3 &amp; 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meeting_prep/IMG_2391</w:t>
            </w:r>
          </w:p>
        </w:tc>
        <w:tc>
          <w:tcPr/>
          <w:p>
            <w:pPr>
              <w:pStyle w:val="Compact"/>
            </w:pPr>
            <w:r>
              <w:t xml:space="preserve">Roadmap items 5 &amp; 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meeting_prep/IMG_2392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Handwritten presentation notes (red pen, blank page)</w:t>
            </w:r>
          </w:p>
        </w:tc>
        <w:tc>
          <w:tcPr/>
          <w:p>
            <w:pPr>
              <w:pStyle w:val="Compact"/>
            </w:pPr>
            <w:r>
              <w:t xml:space="preserve">The operative plan from the meeting — see Part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reports_notes/IMG_2393</w:t>
            </w:r>
          </w:p>
        </w:tc>
        <w:tc>
          <w:tcPr/>
          <w:p>
            <w:pPr>
              <w:pStyle w:val="Compact"/>
            </w:pPr>
            <w:r>
              <w:t xml:space="preserve">Editor’s letter p.1</w:t>
            </w:r>
          </w:p>
        </w:tc>
        <w:tc>
          <w:tcPr/>
          <w:p>
            <w:pPr>
              <w:pStyle w:val="Compact"/>
            </w:pPr>
            <w:r>
              <w:t xml:space="preserve">“Delegate all robustness to generalizations to the end?”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reports_notes/IMG_2394</w:t>
            </w:r>
          </w:p>
        </w:tc>
        <w:tc>
          <w:tcPr/>
          <w:p>
            <w:pPr>
              <w:pStyle w:val="Compact"/>
            </w:pPr>
            <w:r>
              <w:t xml:space="preserve">Editor’s letter p.2</w:t>
            </w:r>
          </w:p>
        </w:tc>
        <w:tc>
          <w:tcPr/>
          <w:p>
            <w:pPr>
              <w:pStyle w:val="Compact"/>
            </w:pPr>
            <w:r>
              <w:t xml:space="preserve">“Last point ✓”</w:t>
            </w:r>
            <w:r>
              <w:t xml:space="preserve">;</w:t>
            </w:r>
            <w:r>
              <w:t xml:space="preserve"> </w:t>
            </w:r>
            <w:r>
              <w:t xml:space="preserve">“See model again”</w:t>
            </w:r>
            <w:r>
              <w:t xml:space="preserve">;</w:t>
            </w:r>
            <w:r>
              <w:t xml:space="preserve"> </w:t>
            </w:r>
            <w:r>
              <w:t xml:space="preserve">“More substantial point, not 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reports_notes/IMG_2395</w:t>
            </w:r>
          </w:p>
        </w:tc>
        <w:tc>
          <w:tcPr/>
          <w:p>
            <w:pPr>
              <w:pStyle w:val="Compact"/>
            </w:pPr>
            <w:r>
              <w:t xml:space="preserve">Editor’s letter p.3 (minor comments, resubmission instructions)</w:t>
            </w:r>
          </w:p>
        </w:tc>
        <w:tc>
          <w:tcPr/>
          <w:p>
            <w:pPr>
              <w:pStyle w:val="Compact"/>
            </w:pPr>
            <w:r>
              <w:t xml:space="preserve">yellow highlighting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reports_notes/IMG_2396</w:t>
            </w:r>
          </w:p>
        </w:tc>
        <w:tc>
          <w:tcPr/>
          <w:p>
            <w:pPr>
              <w:pStyle w:val="Compact"/>
            </w:pPr>
            <w:r>
              <w:t xml:space="preserve">R1 report</w:t>
            </w:r>
          </w:p>
        </w:tc>
        <w:tc>
          <w:tcPr/>
          <w:p>
            <w:pPr>
              <w:pStyle w:val="Compact"/>
            </w:pPr>
            <w:r>
              <w:t xml:space="preserve">yellow highlighting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reports_notes/IMG_2397</w:t>
            </w:r>
          </w:p>
        </w:tc>
        <w:tc>
          <w:tcPr/>
          <w:p>
            <w:pPr>
              <w:pStyle w:val="Compact"/>
            </w:pPr>
            <w:r>
              <w:t xml:space="preserve">R2 report — Summary &amp; Evaluation</w:t>
            </w:r>
          </w:p>
        </w:tc>
        <w:tc>
          <w:tcPr/>
          <w:p>
            <w:pPr>
              <w:pStyle w:val="Compact"/>
            </w:pPr>
            <w:r>
              <w:t xml:space="preserve">yellow highlighting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reports_notes/IMG_2398</w:t>
            </w:r>
          </w:p>
        </w:tc>
        <w:tc>
          <w:tcPr/>
          <w:p>
            <w:pPr>
              <w:pStyle w:val="Compact"/>
            </w:pPr>
            <w:r>
              <w:t xml:space="preserve">R2 — Section 2 (Truthtelling) &amp; 3 (Second signal)</w:t>
            </w:r>
          </w:p>
        </w:tc>
        <w:tc>
          <w:tcPr/>
          <w:p>
            <w:pPr>
              <w:pStyle w:val="Compact"/>
            </w:pPr>
            <w:r>
              <w:t xml:space="preserve">“3 to do Peyman”</w:t>
            </w:r>
            <w:r>
              <w:t xml:space="preserve">;</w:t>
            </w:r>
            <w:r>
              <w:t xml:space="preserve"> </w:t>
            </w:r>
            <w:r>
              <w:t xml:space="preserve">“Nice! Can do”</w:t>
            </w:r>
            <w:r>
              <w:t xml:space="preserve">;</w:t>
            </w:r>
            <w:r>
              <w:t xml:space="preserve"> </w:t>
            </w:r>
            <w:r>
              <w:t xml:space="preserve">“?”</w:t>
            </w:r>
            <w:r>
              <w:t xml:space="preserve">,</w:t>
            </w:r>
            <w:r>
              <w:t xml:space="preserve"> </w:t>
            </w:r>
            <w:r>
              <w:t xml:space="preserve">“??”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reports_notes/IMG_2399</w:t>
            </w:r>
          </w:p>
        </w:tc>
        <w:tc>
          <w:tcPr/>
          <w:p>
            <w:pPr>
              <w:pStyle w:val="Compact"/>
            </w:pPr>
            <w:r>
              <w:t xml:space="preserve">R2 — Smaller comments</w:t>
            </w:r>
          </w:p>
        </w:tc>
        <w:tc>
          <w:tcPr/>
          <w:p>
            <w:pPr>
              <w:pStyle w:val="Compact"/>
            </w:pPr>
            <w:r>
              <w:t xml:space="preserve">“?”</w:t>
            </w:r>
            <w:r>
              <w:t xml:space="preserve">/</w:t>
            </w:r>
            <w:r>
              <w:t xml:space="preserve">“??”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paradox; red arrow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reports_notes/IMG_2400</w:t>
            </w:r>
          </w:p>
        </w:tc>
        <w:tc>
          <w:tcPr/>
          <w:p>
            <w:pPr>
              <w:pStyle w:val="Compact"/>
            </w:pPr>
            <w:r>
              <w:t xml:space="preserve">R3 report</w:t>
            </w:r>
          </w:p>
        </w:tc>
        <w:tc>
          <w:tcPr/>
          <w:p>
            <w:pPr>
              <w:pStyle w:val="Compact"/>
            </w:pPr>
            <w:r>
              <w:t xml:space="preserve">yellow highlighting (Backus et al.; future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reports_notes/IMG_2401</w:t>
            </w:r>
          </w:p>
        </w:tc>
        <w:tc>
          <w:tcPr/>
          <w:p>
            <w:pPr>
              <w:pStyle w:val="Compact"/>
            </w:pPr>
            <w:r>
              <w:t xml:space="preserve">R3 references page (end)</w:t>
            </w:r>
          </w:p>
        </w:tc>
        <w:tc>
          <w:tcPr/>
          <w:p>
            <w:pPr>
              <w:pStyle w:val="Compact"/>
            </w:pPr>
            <w:r>
              <w:t xml:space="preserve">(mostly blank)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2026-04-14T23:27:30Z</dcterms:created>
  <dcterms:modified xsi:type="dcterms:W3CDTF">2026-04-14T23:27:30Z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