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ot-towel-comparison-of-two-versions"/>
    <w:p>
      <w:pPr>
        <w:pStyle w:val="Heading1"/>
      </w:pPr>
      <w:r>
        <w:t xml:space="preserve">Hot Towel — Comparison of Two Versions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Backup:</w:t>
      </w:r>
      <w:r>
        <w:t xml:space="preserve"> </w:t>
      </w:r>
      <w:r>
        <w:rPr>
          <w:rStyle w:val="VerbatimChar"/>
        </w:rPr>
        <w:t xml:space="preserve">writeup/hot_towel_backup.tex</w:t>
      </w:r>
      <w:r>
        <w:t xml:space="preserve"> </w:t>
      </w:r>
      <w:r>
        <w:t xml:space="preserve">(PK, 2022-03-28, 1,696 lines)</w:t>
      </w:r>
      <w:r>
        <w:t xml:space="preserve"> </w:t>
      </w:r>
      <w:r>
        <w:rPr>
          <w:b/>
          <w:bCs/>
        </w:rPr>
        <w:t xml:space="preserve">B.</w:t>
      </w:r>
      <w:r>
        <w:t xml:space="preserve"> </w:t>
      </w:r>
      <w:r>
        <w:t xml:space="preserve">Current:</w:t>
      </w:r>
      <w:r>
        <w:t xml:space="preserve"> </w:t>
      </w:r>
      <w:r>
        <w:rPr>
          <w:rStyle w:val="VerbatimChar"/>
        </w:rPr>
        <w:t xml:space="preserve">writeup/hot_towel.tex</w:t>
      </w:r>
      <w:r>
        <w:t xml:space="preserve"> </w:t>
      </w:r>
      <w:r>
        <w:t xml:space="preserve">(AEJ Micro submission, 2,683 lines)</w:t>
      </w:r>
    </w:p>
    <w:p>
      <w:pPr>
        <w:pStyle w:val="BodyText"/>
      </w:pPr>
      <w:r>
        <w:t xml:space="preserve">This note compares the two versions on the</w:t>
      </w:r>
      <w:r>
        <w:t xml:space="preserve"> </w:t>
      </w:r>
      <w:r>
        <w:rPr>
          <w:b/>
          <w:bCs/>
        </w:rPr>
        <w:t xml:space="preserve">model / theory section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empirical results section</w:t>
      </w:r>
      <w:r>
        <w:t xml:space="preserve"> </w:t>
      </w:r>
      <w:r>
        <w:t xml:space="preserve">only. Introduction, literature, appendices, and conclusion are noted only where they intersect with these two sections.</w:t>
      </w:r>
    </w:p>
    <w:p>
      <w:r>
        <w:pict>
          <v:rect style="width:0;height:1.5pt" o:hralign="center" o:hrstd="t" o:hr="t"/>
        </w:pict>
      </w:r>
    </w:p>
    <w:bookmarkStart w:id="15" w:name="part-i.-model-theory-section"/>
    <w:p>
      <w:pPr>
        <w:pStyle w:val="Heading2"/>
      </w:pPr>
      <w:r>
        <w:t xml:space="preserve">Part I. Model / Theory Section</w:t>
      </w:r>
    </w:p>
    <w:bookmarkStart w:id="9" w:name="high-level-structural-change"/>
    <w:p>
      <w:pPr>
        <w:pStyle w:val="Heading3"/>
      </w:pPr>
      <w:r>
        <w:t xml:space="preserve">High-level structural change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Backup (A)</w:t>
            </w:r>
          </w:p>
        </w:tc>
        <w:tc>
          <w:tcPr/>
          <w:p>
            <w:pPr>
              <w:pStyle w:val="Compact"/>
            </w:pPr>
            <w:r>
              <w:t xml:space="preserve">Current (B)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theory sits</w:t>
            </w:r>
          </w:p>
        </w:tc>
        <w:tc>
          <w:tcPr/>
          <w:p>
            <w:pPr>
              <w:pStyle w:val="Compact"/>
            </w:pPr>
            <w:r>
              <w:t xml:space="preserve">Section 2, directly after Introduction</w:t>
            </w:r>
          </w:p>
        </w:tc>
        <w:tc>
          <w:tcPr/>
          <w:p>
            <w:pPr>
              <w:pStyle w:val="Compact"/>
            </w:pPr>
            <w:r>
              <w:t xml:space="preserve">Section 3, after a new</w:t>
            </w:r>
            <w:r>
              <w:t xml:space="preserve"> </w:t>
            </w:r>
            <w:r>
              <w:t xml:space="preserve">“Relation to Existing Literature”</w:t>
            </w:r>
            <w:r>
              <w:t xml:space="preserve"> </w:t>
            </w:r>
            <w:r>
              <w:t xml:space="preserve">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Subsections</w:t>
            </w:r>
          </w:p>
        </w:tc>
        <w:tc>
          <w:tcPr/>
          <w:p>
            <w:pPr>
              <w:pStyle w:val="Compact"/>
            </w:pPr>
            <w:r>
              <w:t xml:space="preserve">Setup → Analysis of truthful cheap talk → Analysis without cheap talk → Comparing</w:t>
            </w:r>
          </w:p>
        </w:tc>
        <w:tc>
          <w:tcPr/>
          <w:p>
            <w:pPr>
              <w:pStyle w:val="Compact"/>
            </w:pPr>
            <w:r>
              <w:t xml:space="preserve">Setup → Empirical Predictions → Model Omissions, Extensions and Robustness → Truth-telling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the proofs live</w:t>
            </w:r>
          </w:p>
        </w:tc>
        <w:tc>
          <w:tcPr/>
          <w:p>
            <w:pPr>
              <w:pStyle w:val="Compact"/>
            </w:pPr>
            <w:r>
              <w:t xml:space="preserve">All derivations in the body; a single</w:t>
            </w:r>
            <w:r>
              <w:t xml:space="preserve"> </w:t>
            </w:r>
            <w:r>
              <w:rPr>
                <w:rStyle w:val="VerbatimChar"/>
              </w:rPr>
              <w:t xml:space="preserve">\section{Proofs}</w:t>
            </w:r>
            <w:r>
              <w:t xml:space="preserve"> </w:t>
            </w:r>
            <w:r>
              <w:t xml:space="preserve">appendix</w:t>
            </w:r>
          </w:p>
        </w:tc>
        <w:tc>
          <w:tcPr/>
          <w:p>
            <w:pPr>
              <w:pStyle w:val="Compact"/>
            </w:pPr>
            <w:r>
              <w:t xml:space="preserve">Body states results only; proofs and full derivations deferred to an</w:t>
            </w:r>
            <w:r>
              <w:t xml:space="preserve"> </w:t>
            </w:r>
            <w:r>
              <w:rPr>
                <w:b/>
                <w:bCs/>
              </w:rPr>
              <w:t xml:space="preserve">Online Appendix</w:t>
            </w:r>
            <w:r>
              <w:t xml:space="preserve"> </w:t>
            </w:r>
            <w:r>
              <w:t xml:space="preserve">(repeatedly referenced)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Propositions in body</w:t>
            </w:r>
          </w:p>
        </w:tc>
        <w:tc>
          <w:tcPr/>
          <w:p>
            <w:pPr>
              <w:pStyle w:val="Compact"/>
            </w:pPr>
            <w:r>
              <w:t xml:space="preserve">3 propositions (plus comparison proposition)</w:t>
            </w:r>
          </w:p>
        </w:tc>
        <w:tc>
          <w:tcPr/>
          <w:p>
            <w:pPr>
              <w:pStyle w:val="Compact"/>
            </w:pPr>
            <w:r>
              <w:t xml:space="preserve">2 propositions + 1 corollary, plus an Equilibrium Definition and a Lemma about no mass 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in body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Figure</w:t>
            </w:r>
            <w:r>
              <w:t xml:space="preserve"> </w:t>
            </w:r>
            <w:r>
              <w:rPr>
                <w:rStyle w:val="VerbatimChar"/>
              </w:rPr>
              <w:t xml:space="preserve">messages</w:t>
            </w:r>
            <w:r>
              <w:t xml:space="preserve"> </w:t>
            </w:r>
            <w:r>
              <w:t xml:space="preserve">(Panel A vs. Panel B graphical intuition)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 count</w:t>
            </w:r>
          </w:p>
        </w:tc>
        <w:tc>
          <w:tcPr/>
          <w:p>
            <w:pPr>
              <w:pStyle w:val="Compact"/>
            </w:pPr>
            <w:r>
              <w:t xml:space="preserve">~260 lines</w:t>
            </w:r>
          </w:p>
        </w:tc>
        <w:tc>
          <w:tcPr/>
          <w:p>
            <w:pPr>
              <w:pStyle w:val="Compact"/>
            </w:pPr>
            <w:r>
              <w:t xml:space="preserve">~265 lines (but only because the math was pushed out)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single most important structural difference:</w:t>
      </w:r>
      <w:r>
        <w:t xml:space="preserve"> </w:t>
      </w:r>
      <w:r>
        <w:t xml:space="preserve">in A, the full formal analysis — lowest-type indifference, indifference of all low types, random-visits lemma, high-type preference, queue-length equations, Proposition on truthfulness, Proposition on no-cheap-talk, and the comparison proposition — is presented in the body in about 260 lines of self-contained prose. In B, nearly all of that derivation moves to the Online Appendix, and the body instead has a much longer, more formal Setup, followed by an</w:t>
      </w:r>
      <w:r>
        <w:t xml:space="preserve"> </w:t>
      </w:r>
      <w:r>
        <w:t xml:space="preserve">“Empirical Predictions”</w:t>
      </w:r>
      <w:r>
        <w:t xml:space="preserve"> </w:t>
      </w:r>
      <w:r>
        <w:t xml:space="preserve">subsection that just states the main proposition with</w:t>
      </w:r>
      <w:r>
        <w:t xml:space="preserve"> </w:t>
      </w:r>
      <w:r>
        <w:t xml:space="preserve">“See Online Appendix”</w:t>
      </w:r>
      <w:r>
        <w:t xml:space="preserve"> </w:t>
      </w:r>
      <w:r>
        <w:t xml:space="preserve">for proof. This is the fragmentation Referee 2 and the editor flag.</w:t>
      </w:r>
    </w:p>
    <w:bookmarkEnd w:id="9"/>
    <w:bookmarkStart w:id="10" w:name="setup-what-changed-in-the-primitives"/>
    <w:p>
      <w:pPr>
        <w:pStyle w:val="Heading3"/>
      </w:pPr>
      <w:r>
        <w:t xml:space="preserve">Setup: what changed in the primitives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Primitive</w:t>
            </w:r>
          </w:p>
        </w:tc>
        <w:tc>
          <w:tcPr/>
          <w:p>
            <w:pPr>
              <w:pStyle w:val="Compact"/>
            </w:pPr>
            <w:r>
              <w:t xml:space="preserve">Backup (A)</w:t>
            </w:r>
          </w:p>
        </w:tc>
        <w:tc>
          <w:tcPr/>
          <w:p>
            <w:pPr>
              <w:pStyle w:val="Compact"/>
            </w:pPr>
            <w:r>
              <w:t xml:space="preserve">Current (B)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</w:t>
            </w:r>
            <w:r>
              <w:t xml:space="preserve"> </w:t>
            </w:r>
            <w:r>
              <w:t xml:space="preserve">signal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}</m:t>
              </m:r>
            </m:oMath>
            <w:r>
              <w:t xml:space="preserve">, matches true type with probability</w:t>
            </w:r>
            <w:r>
              <w:t xml:space="preserve"> </w:t>
            </w:r>
            <m:oMath>
              <m:r>
                <m:t>ψ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Two</w:t>
            </w:r>
            <w:r>
              <w:t xml:space="preserve"> </w:t>
            </w:r>
            <w:r>
              <w:t xml:space="preserve">signals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(coarse, used when choosing where to apply) and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(fine, used at bidding stage), with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“close to 1”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function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a</m:t>
              </m:r>
            </m:oMath>
            <w:r>
              <w:t xml:space="preserve"> </w:t>
            </w:r>
            <w:r>
              <w:t xml:space="preserve">— linear in ability, no cost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— linear in ability net of a</w:t>
            </w:r>
            <w:r>
              <w:t xml:space="preserve"> </w:t>
            </w:r>
            <w:r>
              <w:rPr>
                <w:b/>
                <w:bCs/>
              </w:rPr>
              <w:t xml:space="preserve">type-specific cost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T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Firm heterogeneity</w:t>
            </w:r>
          </w:p>
        </w:tc>
        <w:tc>
          <w:tcPr/>
          <w:p>
            <w:pPr>
              <w:pStyle w:val="Compact"/>
            </w:pPr>
            <w:r>
              <w:t xml:space="preserve">One dimension: valuation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Two dimensions: valuation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and cost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T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Worker entry</w:t>
            </w:r>
          </w:p>
        </w:tc>
        <w:tc>
          <w:tcPr/>
          <w:p>
            <w:pPr>
              <w:pStyle w:val="Compact"/>
            </w:pPr>
            <w:r>
              <w:t xml:space="preserve">Workers just participate; unit mass normalized</w:t>
            </w:r>
          </w:p>
        </w:tc>
        <w:tc>
          <w:tcPr/>
          <w:p>
            <w:pPr>
              <w:pStyle w:val="Compact"/>
            </w:pPr>
            <w:r>
              <w:t xml:space="preserve">Workers have outside option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Inada conditions</w:t>
            </w:r>
            <w:r>
              <w:t xml:space="preserve"> </w:t>
            </w:r>
            <m:oMath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unbounded; endogenous entry mass</w:t>
            </w:r>
            <w: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Who gets to send a message</w:t>
            </w:r>
          </w:p>
        </w:tc>
        <w:tc>
          <w:tcPr/>
          <w:p>
            <w:pPr>
              <w:pStyle w:val="Compact"/>
            </w:pPr>
            <w:r>
              <w:t xml:space="preserve">Firms either can or cannot (two separate economies)</w:t>
            </w:r>
          </w:p>
        </w:tc>
        <w:tc>
          <w:tcPr/>
          <w:p>
            <w:pPr>
              <w:pStyle w:val="Compact"/>
            </w:pPr>
            <w:r>
              <w:t xml:space="preserve">Each firm is asked to send a message with i.i.d. probability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; otherwise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Equilibrium concept</w:t>
            </w:r>
          </w:p>
        </w:tc>
        <w:tc>
          <w:tcPr/>
          <w:p>
            <w:pPr>
              <w:pStyle w:val="Compact"/>
            </w:pPr>
            <w:r>
              <w:t xml:space="preserve">Implicit: characterized through indifference conditions and bidding ODEs</w:t>
            </w:r>
          </w:p>
        </w:tc>
        <w:tc>
          <w:tcPr/>
          <w:p>
            <w:pPr>
              <w:pStyle w:val="Compact"/>
            </w:pPr>
            <w:r>
              <w:t xml:space="preserve">Explicit formal definition with belief function</w:t>
            </w:r>
            <w:r>
              <w:t xml:space="preserve"> </w:t>
            </w:r>
            <m:oMath>
              <m:r>
                <m:rPr>
                  <m:sty m:val="p"/>
                </m:rPr>
                <m:t>Ψ</m:t>
              </m:r>
            </m:oMath>
            <w:r>
              <w:t xml:space="preserve">, queue function</w:t>
            </w:r>
            <w:r>
              <w:t xml:space="preserve"> </w:t>
            </w:r>
            <m:oMath>
              <m:r>
                <m:rPr>
                  <m:sty m:val="p"/>
                </m:rPr>
                <m:t>Λ</m:t>
              </m:r>
            </m:oMath>
            <w:r>
              <w:t xml:space="preserve">, profit function</w:t>
            </w:r>
            <w:r>
              <w:t xml:space="preserve"> </w:t>
            </w:r>
            <m:oMath>
              <m:r>
                <m:rPr>
                  <m:sty m:val="p"/>
                </m:rPr>
                <m:t>Γ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Mass-point ruling</w:t>
            </w:r>
          </w:p>
        </w:tc>
        <w:tc>
          <w:tcPr/>
          <w:p>
            <w:pPr>
              <w:pStyle w:val="Compact"/>
            </w:pPr>
            <w:r>
              <w:t xml:space="preserve">One-sentence argument in the proof</w:t>
            </w:r>
          </w:p>
        </w:tc>
        <w:tc>
          <w:tcPr/>
          <w:p>
            <w:pPr>
              <w:pStyle w:val="Compact"/>
            </w:pPr>
            <w:r>
              <w:t xml:space="preserve">Stated as a formal</w:t>
            </w:r>
            <w:r>
              <w:t xml:space="preserve"> </w:t>
            </w:r>
            <w:r>
              <w:rPr>
                <w:rStyle w:val="VerbatimChar"/>
              </w:rPr>
              <w:t xml:space="preserve">Lemma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“Proof: See Online Appendix”</w:t>
            </w:r>
          </w:p>
        </w:tc>
      </w:tr>
    </w:tbl>
    <w:bookmarkEnd w:id="10"/>
    <w:bookmarkStart w:id="11" w:name="X6ea5906837b1be7ee1d2049ed9f7f6a09c4357a"/>
    <w:p>
      <w:pPr>
        <w:pStyle w:val="Heading3"/>
      </w:pPr>
      <w:r>
        <w:t xml:space="preserve">Propositions: what’s the same, what’s different</w:t>
      </w:r>
    </w:p>
    <w:p>
      <w:pPr>
        <w:pStyle w:val="FirstParagraph"/>
      </w:pPr>
      <w:r>
        <w:rPr>
          <w:b/>
          <w:bCs/>
        </w:rPr>
        <w:t xml:space="preserve">Backup has three propositions: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 1 (</w:t>
      </w:r>
      <w:r>
        <w:rPr>
          <w:rStyle w:val="VerbatimChar"/>
          <w:b/>
          <w:bCs/>
        </w:rPr>
        <w:t xml:space="preserve">workers</w:t>
      </w:r>
      <w:r>
        <w:rPr>
          <w:b/>
          <w:bCs/>
        </w:rPr>
        <w:t xml:space="preserve">)</w:t>
      </w:r>
      <w:r>
        <w:t xml:space="preserve"> </w:t>
      </w:r>
      <w:r>
        <w:t xml:space="preserve">— Full characterization of the truthful-cheap-talk equilibrium: cutoff ability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 random visits below it, high-only above it, queue-length formulas</w:t>
      </w:r>
      <w:r>
        <w:t xml:space="preserve"> </w:t>
      </w:r>
      <m:oMath>
        <m:sSub>
          <m:e>
            <m:r>
              <m:t>λ</m:t>
            </m:r>
          </m:e>
          <m:sub>
            <m:r>
              <m:t>L</m:t>
            </m:r>
          </m:sub>
        </m:sSub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H</m:t>
            </m:r>
          </m:sub>
        </m:sSub>
      </m:oMath>
      <w:r>
        <w:t xml:space="preserve">, closed-form bid differential equation.</w:t>
      </w:r>
      <w:r>
        <w:t xml:space="preserve"> </w:t>
      </w:r>
      <w:r>
        <w:rPr>
          <w:i/>
          <w:iCs/>
        </w:rPr>
        <w:t xml:space="preserve">In body, proof in body-appendix.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 2 (</w:t>
      </w:r>
      <w:r>
        <w:rPr>
          <w:rStyle w:val="VerbatimChar"/>
          <w:b/>
          <w:bCs/>
        </w:rPr>
        <w:t xml:space="preserve">prop:gap_incentive_compat</w:t>
      </w:r>
      <w:r>
        <w:rPr>
          <w:b/>
          <w:bCs/>
        </w:rPr>
        <w:t xml:space="preserve">)</w:t>
      </w:r>
      <w:r>
        <w:t xml:space="preserve"> </w:t>
      </w:r>
      <w:r>
        <w:t xml:space="preserve">— Truth-telling is IC when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sufficiently small and</w:t>
      </w:r>
      <w:r>
        <w:t xml:space="preserve"> </w:t>
      </w:r>
      <m:oMath>
        <m:sSub>
          <m:e>
            <m:r>
              <m:t>v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sufficiently large; generically fails as</w:t>
      </w:r>
      <w:r>
        <w:t xml:space="preserve"> </w:t>
      </w:r>
      <m:oMath>
        <m:sSub>
          <m:e>
            <m:r>
              <m:t>v</m:t>
            </m:r>
          </m:e>
          <m:sub>
            <m:r>
              <m:t>H</m:t>
            </m:r>
          </m:sub>
        </m:sSub>
        <m:r>
          <m:rPr>
            <m:sty m:val="p"/>
          </m:rPr>
          <m:t>→</m:t>
        </m:r>
        <m:sSub>
          <m:e>
            <m:r>
              <m:t>v</m:t>
            </m:r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 3 (</w:t>
      </w:r>
      <w:r>
        <w:rPr>
          <w:rStyle w:val="VerbatimChar"/>
          <w:b/>
          <w:bCs/>
        </w:rPr>
        <w:t xml:space="preserve">bid-signal-low</w:t>
      </w:r>
      <w:r>
        <w:rPr>
          <w:b/>
          <w:bCs/>
        </w:rPr>
        <w:t xml:space="preserve">)</w:t>
      </w:r>
      <w:r>
        <w:t xml:space="preserve"> </w:t>
      </w:r>
      <w:r>
        <w:t xml:space="preserve">— Full characterization of the no-cheap-talk market: queue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δ</m:t>
            </m:r>
          </m:e>
          <m:sub>
            <m:r>
              <m:t>L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)</m:t>
        </m:r>
      </m:oMath>
      <w:r>
        <w:t xml:space="preserve">, bidding ODEs after high and low signal.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 4 (</w:t>
      </w:r>
      <w:r>
        <w:rPr>
          <w:rStyle w:val="VerbatimChar"/>
          <w:b/>
          <w:bCs/>
        </w:rPr>
        <w:t xml:space="preserve">comparison</w:t>
      </w:r>
      <w:r>
        <w:rPr>
          <w:b/>
          <w:bCs/>
        </w:rPr>
        <w:t xml:space="preserve">)</w:t>
      </w:r>
      <w:r>
        <w:t xml:space="preserve"> </w:t>
      </w:r>
      <w:r>
        <w:t xml:space="preserve">— The comparison proposition with</w:t>
      </w:r>
      <w:r>
        <w:t xml:space="preserve"> </w:t>
      </w:r>
      <w:r>
        <w:rPr>
          <w:b/>
          <w:bCs/>
        </w:rPr>
        <w:t xml:space="preserve">4 predictions</w:t>
      </w:r>
      <w:r>
        <w:t xml:space="preserve">: sorting, applications, wages, efficiency.</w:t>
      </w:r>
    </w:p>
    <w:p>
      <w:pPr>
        <w:pStyle w:val="FirstParagraph"/>
      </w:pPr>
      <w:r>
        <w:rPr>
          <w:b/>
          <w:bCs/>
        </w:rPr>
        <w:t xml:space="preserve">Current has two propositions, one corollary, one lemma, one equilibrium definition: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Prop 1 (</w:t>
      </w:r>
      <w:r>
        <w:rPr>
          <w:rStyle w:val="VerbatimChar"/>
          <w:b/>
          <w:bCs/>
        </w:rPr>
        <w:t xml:space="preserve">comparison1</w:t>
      </w:r>
      <w:r>
        <w:rPr>
          <w:b/>
          <w:bCs/>
        </w:rPr>
        <w:t xml:space="preserve">)</w:t>
      </w:r>
      <w:r>
        <w:t xml:space="preserve"> </w:t>
      </w:r>
      <w:r>
        <w:t xml:space="preserve">— The comparison proposition with</w:t>
      </w:r>
      <w:r>
        <w:t xml:space="preserve"> </w:t>
      </w:r>
      <w:r>
        <w:rPr>
          <w:b/>
          <w:bCs/>
        </w:rPr>
        <w:t xml:space="preserve">5 predictions</w:t>
      </w:r>
      <w:r>
        <w:t xml:space="preserve"> </w:t>
      </w:r>
      <w:r>
        <w:t xml:space="preserve">(same four plus a new one; see below). States the comparison directly without first presenting the two separate equilibrium characterizations in the body.</w:t>
      </w:r>
      <w:r>
        <w:t xml:space="preserve"> </w:t>
      </w:r>
      <w:r>
        <w:rPr>
          <w:i/>
          <w:iCs/>
        </w:rPr>
        <w:t xml:space="preserve">Proof in Online Appendix.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Prop 2 (</w:t>
      </w:r>
      <w:r>
        <w:rPr>
          <w:rStyle w:val="VerbatimChar"/>
          <w:b/>
          <w:bCs/>
        </w:rPr>
        <w:t xml:space="preserve">prop:incentive_compat</w:t>
      </w:r>
      <w:r>
        <w:rPr>
          <w:b/>
          <w:bCs/>
        </w:rPr>
        <w:t xml:space="preserve">)</w:t>
      </w:r>
      <w:r>
        <w:t xml:space="preserve"> </w:t>
      </w:r>
      <w:r>
        <w:t xml:space="preserve">— Truth-telling IC if</w:t>
      </w:r>
      <w:r>
        <w:t xml:space="preserve"> </w:t>
      </w:r>
      <m:oMath>
        <m:sSub>
          <m:e>
            <m:r>
              <m:t>v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sufficiently large; generically fails as</w:t>
      </w:r>
      <w:r>
        <w:t xml:space="preserve"> </w:t>
      </w:r>
      <m:oMath>
        <m:sSub>
          <m:e>
            <m:r>
              <m:t>v</m:t>
            </m:r>
          </m:e>
          <m:sub>
            <m:r>
              <m:t>H</m:t>
            </m:r>
          </m:sub>
        </m:sSub>
        <m:r>
          <m:rPr>
            <m:sty m:val="p"/>
          </m:rPr>
          <m:t>→</m:t>
        </m:r>
        <m:sSub>
          <m:e>
            <m:r>
              <m:t>v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c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Proof in Online Appendix.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Corollary (</w:t>
      </w:r>
      <w:r>
        <w:rPr>
          <w:rStyle w:val="VerbatimChar"/>
          <w:b/>
          <w:bCs/>
        </w:rPr>
        <w:t xml:space="preserve">cor:partially revealing</w:t>
      </w:r>
      <w:r>
        <w:rPr>
          <w:b/>
          <w:bCs/>
        </w:rPr>
        <w:t xml:space="preserve">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New.</w:t>
      </w:r>
      <w:r>
        <w:t xml:space="preserve"> </w:t>
      </w:r>
      <w:r>
        <w:t xml:space="preserve">Points (1)–(5) of Prop 1 survive in any partially revealing equilibrium (where</w:t>
      </w:r>
      <w:r>
        <w:t xml:space="preserve"> </w:t>
      </w:r>
      <m:oMath>
        <m:r>
          <m:rPr>
            <m:sty m:val="p"/>
          </m:rPr>
          <m:t>Ψ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r>
          <m:t>L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Ψ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r>
          <m:t>H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Lemma</w:t>
      </w:r>
      <w:r>
        <w:t xml:space="preserve"> </w:t>
      </w:r>
      <w:r>
        <w:t xml:space="preserve">— No meaningful mass points (moved out as a named lemma, but proof in Online Appendix).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Equilibrium Definition</w:t>
      </w:r>
      <w:r>
        <w:t xml:space="preserve"> </w:t>
      </w:r>
      <w:r>
        <w:t xml:space="preserve">— Formal three-point definition (Bayes consistency, firm optimization, worker indifference).</w:t>
      </w:r>
    </w:p>
    <w:p>
      <w:pPr>
        <w:pStyle w:val="FirstParagraph"/>
      </w:pPr>
      <w:r>
        <w:t xml:space="preserve">Note that the content of backup Props 1 and 3 — the actual equilibrium characterizations — has no proposition-level home in the body of B. It’s now inside the Online Appendix.</w:t>
      </w:r>
    </w:p>
    <w:bookmarkEnd w:id="11"/>
    <w:bookmarkStart w:id="12" w:name="Xfccca495045918e7ba51ad4da22ee89de1bd859"/>
    <w:p>
      <w:pPr>
        <w:pStyle w:val="Heading3"/>
      </w:pPr>
      <w:r>
        <w:t xml:space="preserve">The five empirical predictions — what’s different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Backup (Prop</w:t>
            </w:r>
            <w:r>
              <w:t xml:space="preserve"> </w:t>
            </w:r>
            <w:r>
              <w:rPr>
                <w:rStyle w:val="VerbatimChar"/>
              </w:rPr>
              <w:t xml:space="preserve">comparison</w:t>
            </w:r>
            <w:r>
              <w:t xml:space="preserve">, 4 points)</w:t>
            </w:r>
          </w:p>
        </w:tc>
        <w:tc>
          <w:tcPr/>
          <w:p>
            <w:pPr>
              <w:pStyle w:val="Compact"/>
            </w:pPr>
            <w:r>
              <w:t xml:space="preserve">Current (Prop</w:t>
            </w:r>
            <w:r>
              <w:t xml:space="preserve"> </w:t>
            </w:r>
            <w:r>
              <w:rPr>
                <w:rStyle w:val="VerbatimChar"/>
              </w:rPr>
              <w:t xml:space="preserve">comparison1</w:t>
            </w:r>
            <w:r>
              <w:t xml:space="preserve">, 5 points)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Sorting:</w:t>
            </w:r>
            <w:r>
              <w:t xml:space="preserve"> </w:t>
            </w:r>
            <w:r>
              <w:t xml:space="preserve">applicant quality rises at high firms, falls at low firms, driven by workers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&gt;</m:t>
              </m:r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Sorting:</w:t>
            </w:r>
            <w:r>
              <w:t xml:space="preserve"> </w:t>
            </w:r>
            <w:r>
              <w:t xml:space="preserve">stated in terms of</w:t>
            </w:r>
            <w:r>
              <w:t xml:space="preserve"> </w:t>
            </w:r>
            <w:r>
              <w:rPr>
                <w:b/>
                <w:bCs/>
              </w:rPr>
              <w:t xml:space="preserve">first-order stochastic dominance</w:t>
            </w:r>
            <w:r>
              <w:t xml:space="preserve"> </w:t>
            </w:r>
            <w:r>
              <w:t xml:space="preserve">of the ability 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Applications:</w:t>
            </w:r>
            <w:r>
              <w:t xml:space="preserve"> </w:t>
            </w:r>
            <w:r>
              <w:t xml:space="preserve">decrease at low firms, increase at high firms (unambiguous)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Applications: theoretically ambiguous.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H</m:t>
                  </m:r>
                </m:sub>
              </m:sSub>
            </m:oMath>
            <w:r>
              <w:t xml:space="preserve"> </w:t>
            </w:r>
            <w:r>
              <w:t xml:space="preserve">large, shifts apps toward high; if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H</m:t>
                  </m:r>
                </m:sub>
              </m:sSub>
            </m:oMath>
            <w:r>
              <w:t xml:space="preserve"> </w:t>
            </w:r>
            <w:r>
              <w:t xml:space="preserve">close 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, shifts apps toward 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Wages:</w:t>
            </w:r>
            <w:r>
              <w:t xml:space="preserve"> </w:t>
            </w:r>
            <w:r>
              <w:t xml:space="preserve">bids lower at low firms; higher at high firms,</w:t>
            </w:r>
            <w:r>
              <w:t xml:space="preserve"> </w:t>
            </w:r>
            <w:r>
              <w:rPr>
                <w:i/>
                <w:iCs/>
              </w:rPr>
              <w:t xml:space="preserve">possibly except for the highest ability levels</w:t>
            </w:r>
            <w:r>
              <w:t xml:space="preserve"> </w:t>
            </w:r>
            <w:r>
              <w:t xml:space="preserve">(cutoff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&gt;</m:t>
              </m:r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Wages:</w:t>
            </w:r>
            <w:r>
              <w:t xml:space="preserve"> </w:t>
            </w:r>
            <w:r>
              <w:t xml:space="preserve">bids lower at low firms; higher at high firms (no highest-ability caveat)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</w:t>
            </w:r>
            <w:r>
              <w:t xml:space="preserve"> </w:t>
            </w:r>
            <w:r>
              <w:t xml:space="preserve">higher under truthful cheap talk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</w:t>
            </w:r>
            <w:r>
              <w:t xml:space="preserve"> </w:t>
            </w:r>
            <w:r>
              <w:t xml:space="preserve">higher under truthful cheap talk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New: Market-wide rollout.</w:t>
            </w:r>
            <w:r>
              <w:t xml:space="preserve"> </w:t>
            </w:r>
            <w:r>
              <w:t xml:space="preserve">Incentives don’t depend on the fraction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of firms that can message. Same predictions hold whether all firms can message or only a fraction</w:t>
            </w:r>
          </w:p>
        </w:tc>
      </w:tr>
    </w:tbl>
    <w:p>
      <w:pPr>
        <w:pStyle w:val="BodyText"/>
      </w:pPr>
      <w:r>
        <w:t xml:space="preserve">The point-2 change (applications now theoretically ambiguous) and the new point-5 are both direct consequences of the richer setup: the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cost term introduces two directions a theory can go for applications, 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needs to be in the setup for point 5 to be stated at all.</w:t>
      </w:r>
    </w:p>
    <w:bookmarkEnd w:id="12"/>
    <w:bookmarkStart w:id="13" w:name="new-content-unique-to-current-version"/>
    <w:p>
      <w:pPr>
        <w:pStyle w:val="Heading3"/>
      </w:pPr>
      <w:r>
        <w:t xml:space="preserve">New content unique to current version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Subsection 3.3</w:t>
      </w:r>
      <w:r>
        <w:rPr>
          <w:b/>
          <w:bCs/>
        </w:rPr>
        <w:t xml:space="preserve"> </w:t>
      </w:r>
      <w:r>
        <w:rPr>
          <w:b/>
          <w:bCs/>
        </w:rPr>
        <w:t xml:space="preserve">“Model Omissions, Extensions and Robustness”</w:t>
      </w:r>
      <w:r>
        <w:t xml:space="preserve"> </w:t>
      </w:r>
      <w:r>
        <w:t xml:space="preserve">— has no equivalent in A. Discusses the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limit and the generalization from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 any supermodular log-supermodular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with constant elasticity of</w:t>
      </w:r>
      <w:r>
        <w:t xml:space="preserve"> </w:t>
      </w:r>
      <m:oMath>
        <m:sSub>
          <m:e>
            <m:r>
              <m:t>ϕ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t>T</m:t>
        </m:r>
      </m:oMath>
      <w:r>
        <w:t xml:space="preserve">. Both points are flagged with pointers to separate Online Appendix sections.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Subsection 3.4</w:t>
      </w:r>
      <w:r>
        <w:rPr>
          <w:b/>
          <w:bCs/>
        </w:rPr>
        <w:t xml:space="preserve"> </w:t>
      </w:r>
      <w:r>
        <w:rPr>
          <w:b/>
          <w:bCs/>
        </w:rPr>
        <w:t xml:space="preserve">“Truth-telling”</w:t>
      </w:r>
      <w:r>
        <w:t xml:space="preserve"> </w:t>
      </w:r>
      <w:r>
        <w:t xml:space="preserve">(separate from Prop 2) — frames truth-telling as an interpretation device: firms without a message are asked to pick between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 and distributional comparison across the</w:t>
      </w:r>
      <w:r>
        <w:t xml:space="preserve"> </w:t>
      </w:r>
      <w:r>
        <w:t xml:space="preserve"> </w:t>
      </w:r>
      <w:r>
        <w:t xml:space="preserve">conditions is used to infer truth-telling empirically. This content lives in A only as a footnote on p.1 of the theory section.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Graphical intuition (Figure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messages</w:t>
      </w:r>
      <w:r>
        <w:rPr>
          <w:b/>
          <w:bCs/>
        </w:rPr>
        <w:t xml:space="preserve">)</w:t>
      </w:r>
      <w:r>
        <w:t xml:space="preserve"> </w:t>
      </w:r>
      <w:r>
        <w:t xml:space="preserve">— two-panel figure (truthful cheap talk vs no-messages) with extensive verbal walkthrough. A has no in-body figure for the theory; its intuition is carried entirely by the formal derivations.</w:t>
      </w:r>
    </w:p>
    <w:bookmarkEnd w:id="13"/>
    <w:bookmarkStart w:id="14" w:name="X7f4ce0a2553133f8d938bc84d015f952eeb289e"/>
    <w:p>
      <w:pPr>
        <w:pStyle w:val="Heading3"/>
      </w:pPr>
      <w:r>
        <w:t xml:space="preserve">Content that was in A but dropped or moved out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All closed-form equilibrium characterizations</w:t>
      </w:r>
      <w:r>
        <w:t xml:space="preserve"> </w:t>
      </w:r>
      <w:r>
        <w:t xml:space="preserve">(queue lengths</w:t>
      </w:r>
      <w:r>
        <w:t xml:space="preserve"> </w:t>
      </w:r>
      <m:oMath>
        <m:sSub>
          <m:e>
            <m:r>
              <m:t>λ</m:t>
            </m:r>
          </m:e>
          <m:sub>
            <m:r>
              <m:t>L</m:t>
            </m:r>
          </m:sub>
        </m:sSub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H</m:t>
            </m:r>
          </m:sub>
        </m:sSub>
      </m:oMath>
      <w:r>
        <w:t xml:space="preserve">; bid ODEs for both environments) — gone from body, now in Online Appendix.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Step-by-step derivation of the four properties</w:t>
      </w:r>
      <w:r>
        <w:t xml:space="preserve"> </w:t>
      </w:r>
      <w:r>
        <w:t xml:space="preserve">(lowest-type indifference, all-low-types indifference, random visits, high-types-to-high-message) — gone from body.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Direct comparison prose</w:t>
      </w:r>
      <w:r>
        <w:t xml:space="preserve"> </w:t>
      </w:r>
      <w:r>
        <w:t xml:space="preserve">at the end of backup §2.3 (three pages walking through what happens to expected bids under each informational regime) — replaced in B by the Figure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intuition.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Proof of Prop 1 (</w:t>
      </w:r>
      <w:r>
        <w:rPr>
          <w:rStyle w:val="VerbatimChar"/>
          <w:b/>
          <w:bCs/>
        </w:rPr>
        <w:t xml:space="preserve">workers</w:t>
      </w:r>
      <w:r>
        <w:rPr>
          <w:b/>
          <w:bCs/>
        </w:rPr>
        <w:t xml:space="preserve">) in a body appendix</w:t>
      </w:r>
      <w:r>
        <w:t xml:space="preserve"> </w:t>
      </w:r>
      <w:r>
        <w:t xml:space="preserve">— no body-level proof appendix in B.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part-ii.-empirical-results-section"/>
    <w:p>
      <w:pPr>
        <w:pStyle w:val="Heading2"/>
      </w:pPr>
      <w:r>
        <w:t xml:space="preserve">Part II. Empirical Results Section</w:t>
      </w:r>
    </w:p>
    <w:bookmarkStart w:id="16" w:name="structure"/>
    <w:p>
      <w:pPr>
        <w:pStyle w:val="Heading3"/>
      </w:pPr>
      <w:r>
        <w:t xml:space="preserve">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Backup (§4, 464 lines)</w:t>
            </w:r>
          </w:p>
        </w:tc>
        <w:tc>
          <w:tcPr/>
          <w:p>
            <w:pPr>
              <w:pStyle w:val="Compact"/>
            </w:pPr>
            <w:r>
              <w:t xml:space="preserve">Current (§5, 429 lines)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Informative messages</w:t>
            </w:r>
          </w:p>
        </w:tc>
        <w:tc>
          <w:tcPr/>
          <w:p>
            <w:pPr>
              <w:pStyle w:val="Compact"/>
            </w:pPr>
            <w:r>
              <w:t xml:space="preserve">Informative 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Sorting</w:t>
            </w:r>
          </w:p>
        </w:tc>
        <w:tc>
          <w:tcPr/>
          <w:p>
            <w:pPr>
              <w:pStyle w:val="Compact"/>
            </w:pPr>
            <w:r>
              <w:t xml:space="preserve">Sorting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Number of job applications per opening, by message</w:t>
            </w:r>
          </w:p>
        </w:tc>
        <w:tc>
          <w:tcPr/>
          <w:p>
            <w:pPr>
              <w:pStyle w:val="Compact"/>
            </w:pPr>
            <w:r>
              <w:t xml:space="preserve">Number of Job Applications Per Opening, by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Wages</w:t>
            </w:r>
          </w:p>
        </w:tc>
        <w:tc>
          <w:tcPr/>
          <w:p>
            <w:pPr>
              <w:pStyle w:val="Compact"/>
            </w:pPr>
            <w:r>
              <w:t xml:space="preserve">Wages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Match outcomes and efficiency</w:t>
            </w:r>
          </w:p>
        </w:tc>
        <w:tc>
          <w:tcPr/>
          <w:p>
            <w:pPr>
              <w:pStyle w:val="Compact"/>
            </w:pPr>
            <w:r>
              <w:t xml:space="preserve">Match Outcomes and Efficiency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Separating Equilibrium in the Long-run (new subsection)</w:t>
            </w:r>
          </w:p>
        </w:tc>
      </w:tr>
    </w:tbl>
    <w:p>
      <w:pPr>
        <w:pStyle w:val="BodyText"/>
      </w:pPr>
      <w:r>
        <w:t xml:space="preserve">The order and framing of the first five subsections are essentially preserved. B is 35 lines shorter overall despite adding a subsection — the trimming happens mostly in §5.2 (Sorting) and §5.3 (Applications), where specific discussion has been moved to the Online Appendix or cut.</w:t>
      </w:r>
    </w:p>
    <w:bookmarkEnd w:id="16"/>
    <w:bookmarkStart w:id="17" w:name="subsection-by-subsection-differences"/>
    <w:p>
      <w:pPr>
        <w:pStyle w:val="Heading3"/>
      </w:pPr>
      <w:r>
        <w:t xml:space="preserve">Subsection-by-subsection differences</w:t>
      </w:r>
    </w:p>
    <w:p>
      <w:pPr>
        <w:pStyle w:val="FirstParagraph"/>
      </w:pPr>
      <w:r>
        <w:rPr>
          <w:b/>
          <w:bCs/>
        </w:rPr>
        <w:t xml:space="preserve">§4.1 / §5.1 Informative messages.</w:t>
      </w:r>
      <w:r>
        <w:t xml:space="preserve"> </w:t>
      </w:r>
      <w:r>
        <w:t xml:space="preserve">Content is essentially identical. Only textual difference: A opens with</w:t>
      </w:r>
      <w:r>
        <w:t xml:space="preserve"> </w:t>
      </w:r>
      <w:r>
        <w:t xml:space="preserve">“Proposition</w:t>
      </w:r>
      <w:r>
        <w:t xml:space="preserve"> </w:t>
      </w:r>
      <w:r>
        <w:rPr>
          <w:rStyle w:val="VerbatimChar"/>
        </w:rPr>
        <w:t xml:space="preserve">prop:gap_incentive_compat</w:t>
      </w:r>
      <w:r>
        <w:t xml:space="preserve">…”</w:t>
      </w:r>
      <w:r>
        <w:t xml:space="preserve">; B opens with</w:t>
      </w:r>
      <w:r>
        <w:t xml:space="preserve"> </w:t>
      </w:r>
      <w:r>
        <w:t xml:space="preserve">“At the end of the theory section we showed that truthful cheap talk can be sustained…(see Proposition</w:t>
      </w:r>
      <w:r>
        <w:t xml:space="preserve"> </w:t>
      </w:r>
      <w:r>
        <w:rPr>
          <w:rStyle w:val="VerbatimChar"/>
        </w:rPr>
        <w:t xml:space="preserve">prop:incentive_compat</w:t>
      </w:r>
      <w:r>
        <w:t xml:space="preserve">).”</w:t>
      </w:r>
      <w:r>
        <w:t xml:space="preserve"> </w:t>
      </w:r>
      <w:r>
        <w:t xml:space="preserve">Same figure (</w:t>
      </w:r>
      <w:r>
        <w:rPr>
          <w:rStyle w:val="VerbatimChar"/>
        </w:rPr>
        <w:t xml:space="preserve">choices_by_cat</w:t>
      </w:r>
      <w:r>
        <w:t xml:space="preserve">), same chi-square test, same pooling conclusion.</w:t>
      </w:r>
    </w:p>
    <w:p>
      <w:pPr>
        <w:pStyle w:val="BodyText"/>
      </w:pPr>
      <w:r>
        <w:rPr>
          <w:b/>
          <w:bCs/>
        </w:rPr>
        <w:t xml:space="preserve">§4.2 / §5.2 Sorting.</w:t>
      </w:r>
      <w:r>
        <w:t xml:space="preserve"> </w:t>
      </w:r>
      <w:r>
        <w:t xml:space="preserve">Material difference.</w:t>
      </w:r>
    </w:p>
    <w:p>
      <w:pPr>
        <w:pStyle w:val="Compact"/>
        <w:numPr>
          <w:ilvl w:val="0"/>
          <w:numId w:val="1005"/>
        </w:numPr>
      </w:pPr>
      <w:r>
        <w:t xml:space="preserve">Both versions present</w:t>
      </w:r>
      <w:r>
        <w:t xml:space="preserve"> </w:t>
      </w:r>
      <w:r>
        <w:rPr>
          <w:rStyle w:val="VerbatimChar"/>
        </w:rPr>
        <w:t xml:space="preserve">fig:compare_experience</w:t>
      </w:r>
      <w:r>
        <w:t xml:space="preserve"> </w:t>
      </w:r>
      <w:r>
        <w:t xml:space="preserve">(application-level regression of log prior earnings on tier × revelation) and reach the same conclusion: revelation strengthens sorting in expected directions.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additionally presents, in the body, the quantile analysis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fig:signal_effects_experience</w:t>
      </w:r>
      <w:r>
        <w:t xml:space="preserve">, showing that revelation has effects at higher quantiles of the applicant pool but not at lower ones. This takes roughly 40 lines and ends with:</w:t>
      </w:r>
      <w:r>
        <w:t xml:space="preserve"> </w:t>
      </w:r>
      <w:r>
        <w:rPr>
          <w:i/>
          <w:iCs/>
        </w:rPr>
        <w:t xml:space="preserve">“This is a surprising confirmation of the theoretical prediction of the model that it is high-types that do the sorting.”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 cuts the quantile figure from the body</w:t>
      </w:r>
      <w:r>
        <w:t xml:space="preserve"> </w:t>
      </w:r>
      <w:r>
        <w:t xml:space="preserve">and replaces it with a two-paragraph pointer:</w:t>
      </w:r>
      <w:r>
        <w:t xml:space="preserve"> </w:t>
      </w:r>
      <w:r>
        <w:rPr>
          <w:i/>
          <w:iCs/>
        </w:rPr>
        <w:t xml:space="preserve">“A deeper theoretical prediction (Corollary X in Online Appendix) is that differences in the applicant pool should primarily be driven by high-ability workers when valuation differences dominate and by low-ability workers if cost differences are key… We show this is indeed the case in Online Appendix.”</w:t>
      </w:r>
      <w:r>
        <w:t xml:space="preserve"> </w:t>
      </w:r>
      <w:r>
        <w:t xml:space="preserve">The quantile figure presumably lives in the Online Appendix.</w:t>
      </w:r>
    </w:p>
    <w:p>
      <w:pPr>
        <w:pStyle w:val="Compact"/>
        <w:numPr>
          <w:ilvl w:val="0"/>
          <w:numId w:val="1005"/>
        </w:numPr>
      </w:pPr>
      <w:r>
        <w:t xml:space="preserve">Tied to the new theory: B explicitly invokes the valuation-vs-cost distinction that the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term enables. A does not.</w:t>
      </w:r>
    </w:p>
    <w:p>
      <w:pPr>
        <w:pStyle w:val="FirstParagraph"/>
      </w:pPr>
      <w:r>
        <w:rPr>
          <w:b/>
          <w:bCs/>
        </w:rPr>
        <w:t xml:space="preserve">§4.3 / §5.3 Number of job applications.</w:t>
      </w:r>
      <w:r>
        <w:t xml:space="preserve"> </w:t>
      </w:r>
      <w:r>
        <w:t xml:space="preserve">Material difference in framing.</w:t>
      </w:r>
    </w:p>
    <w:p>
      <w:pPr>
        <w:pStyle w:val="Compact"/>
        <w:numPr>
          <w:ilvl w:val="0"/>
          <w:numId w:val="1006"/>
        </w:numPr>
      </w:pPr>
      <w:r>
        <w:t xml:space="preserve">A reports: applicant pool reductions concentrated in the low tier; no discernible increase at the high tier. Then says:</w:t>
      </w:r>
      <w:r>
        <w:t xml:space="preserve"> </w:t>
      </w:r>
      <w:r>
        <w:rPr>
          <w:i/>
          <w:iCs/>
        </w:rPr>
        <w:t xml:space="preserve">“this result is only partially consistent with Proposition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comparison</w:t>
      </w:r>
      <w:r>
        <w:rPr>
          <w:i/>
          <w:iCs/>
        </w:rPr>
        <w:t xml:space="preserve">, bullet point 2.”</w:t>
      </w:r>
      <w:r>
        <w:t xml:space="preserve"> </w:t>
      </w:r>
      <w:r>
        <w:t xml:space="preserve">The subsection continues with a ~15-line discussion of entry/exit, endogenous application counts, and Shimer (2004) on the ambiguity of how win-probability changes feed through into application volume.</w:t>
      </w:r>
    </w:p>
    <w:p>
      <w:pPr>
        <w:pStyle w:val="Compact"/>
        <w:numPr>
          <w:ilvl w:val="0"/>
          <w:numId w:val="1006"/>
        </w:numPr>
      </w:pPr>
      <w:r>
        <w:t xml:space="preserve">B reports the same applicant-pool findings. But the framing is different: because in B’s theory the application effect is</w:t>
      </w:r>
      <w:r>
        <w:t xml:space="preserve"> </w:t>
      </w:r>
      <w:r>
        <w:rPr>
          <w:i/>
          <w:iCs/>
        </w:rPr>
        <w:t xml:space="preserve">already</w:t>
      </w:r>
      <w:r>
        <w:t xml:space="preserve"> </w:t>
      </w:r>
      <w:r>
        <w:t xml:space="preserve">theoretically ambiguous (Prop 1 part 2), B can say:</w:t>
      </w:r>
      <w:r>
        <w:t xml:space="preserve"> </w:t>
      </w:r>
      <w:r>
        <w:rPr>
          <w:i/>
          <w:iCs/>
        </w:rPr>
        <w:t xml:space="preserve">“For low types this seems broadly consistent with effects driven by heterogeneous valuations. We do not see opposite effects for high type firms, though.”</w:t>
      </w:r>
      <w:r>
        <w:t xml:space="preserve"> </w:t>
      </w:r>
      <w:r>
        <w:t xml:space="preserve">No surprise to explain away.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 cuts the 15-line entry/exit/Shimer discussion.</w:t>
      </w:r>
      <w:r>
        <w:t xml:space="preserve"> </w:t>
      </w:r>
      <w:r>
        <w:t xml:space="preserve">The empirical finding is the same; what’s gone is the intellectual work needed to reconcile it with A’s unambiguous prediction. Arguably cleaner, arguably a lost piece of insight depending on taste.</w:t>
      </w:r>
    </w:p>
    <w:p>
      <w:pPr>
        <w:pStyle w:val="FirstParagraph"/>
      </w:pPr>
      <w:r>
        <w:rPr>
          <w:b/>
          <w:bCs/>
        </w:rPr>
        <w:t xml:space="preserve">§4.4 / §5.4 Wages.</w:t>
      </w:r>
      <w:r>
        <w:t xml:space="preserve"> </w:t>
      </w:r>
      <w:r>
        <w:t xml:space="preserve">Essentially identical content.</w:t>
      </w:r>
    </w:p>
    <w:p>
      <w:pPr>
        <w:pStyle w:val="Compact"/>
        <w:numPr>
          <w:ilvl w:val="0"/>
          <w:numId w:val="1007"/>
        </w:numPr>
      </w:pPr>
      <w:r>
        <w:t xml:space="preserve">Same regressions (eq:app_reg, eq:bidding), same figures (</w:t>
      </w:r>
      <w:r>
        <w:rPr>
          <w:rStyle w:val="VerbatimChar"/>
        </w:rPr>
        <w:t xml:space="preserve">compare_wb_to_pr</w:t>
      </w:r>
      <w:r>
        <w:t xml:space="preserve">,</w:t>
      </w:r>
      <w:r>
        <w:t xml:space="preserve"> </w:t>
      </w:r>
      <w:r>
        <w:rPr>
          <w:rStyle w:val="VerbatimChar"/>
        </w:rPr>
        <w:t xml:space="preserve">bidding_effect</w:t>
      </w:r>
      <w:r>
        <w:t xml:space="preserve">), same within-worker FE analysis, same compensating-differential discussion, same conclusion about wage-bid conditioning.</w:t>
      </w:r>
    </w:p>
    <w:p>
      <w:pPr>
        <w:pStyle w:val="Compact"/>
        <w:numPr>
          <w:ilvl w:val="0"/>
          <w:numId w:val="1007"/>
        </w:numPr>
      </w:pPr>
      <w:r>
        <w:t xml:space="preserve">Only differences: reference to</w:t>
      </w:r>
      <w:r>
        <w:t xml:space="preserve"> </w:t>
      </w:r>
      <w:r>
        <w:rPr>
          <w:rStyle w:val="VerbatimChar"/>
        </w:rPr>
        <w:t xml:space="preserve">comparison1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comparison</w:t>
      </w:r>
      <w:r>
        <w:t xml:space="preserve">; B adds one transitional sentence —</w:t>
      </w:r>
      <w:r>
        <w:t xml:space="preserve"> </w:t>
      </w:r>
      <w:r>
        <w:rPr>
          <w:i/>
          <w:iCs/>
        </w:rPr>
        <w:t xml:space="preserve">“The empirical analysis of wages so far confounds two effects, though: Revealing messages changes the types of workers that a firm attracts, and the bids that these workers demand”</w:t>
      </w:r>
      <w:r>
        <w:t xml:space="preserve"> </w:t>
      </w:r>
      <w:r>
        <w:t xml:space="preserve">— that A didn’t need because A’s theory section had already developed that framing formally.</w:t>
      </w:r>
    </w:p>
    <w:p>
      <w:pPr>
        <w:pStyle w:val="Compact"/>
        <w:numPr>
          <w:ilvl w:val="0"/>
          <w:numId w:val="1007"/>
        </w:numPr>
      </w:pPr>
      <w:r>
        <w:t xml:space="preserve">B references</w:t>
      </w:r>
      <w:r>
        <w:t xml:space="preserve"> </w:t>
      </w:r>
      <w:r>
        <w:t xml:space="preserve">“Appendix</w:t>
      </w:r>
      <w:r>
        <w:t xml:space="preserve"> </w:t>
      </w:r>
      <w:r>
        <w:rPr>
          <w:rStyle w:val="VerbatimChar"/>
        </w:rPr>
        <w:t xml:space="preserve">sec:markup</w:t>
      </w:r>
      <w:r>
        <w:t xml:space="preserve">”</w:t>
      </w:r>
      <w:r>
        <w:t xml:space="preserve"> </w:t>
      </w:r>
      <w:r>
        <w:t xml:space="preserve">where A references the same; B references</w:t>
      </w:r>
      <w:r>
        <w:t xml:space="preserve"> </w:t>
      </w:r>
      <w:r>
        <w:t xml:space="preserve">“Appendix</w:t>
      </w:r>
      <w:r>
        <w:t xml:space="preserve"> </w:t>
      </w:r>
      <w:r>
        <w:rPr>
          <w:rStyle w:val="VerbatimChar"/>
        </w:rPr>
        <w:t xml:space="preserve">sec:compensating_differentials</w:t>
      </w:r>
      <w:r>
        <w:t xml:space="preserve">”</w:t>
      </w:r>
      <w:r>
        <w:t xml:space="preserve"> </w:t>
      </w:r>
      <w:r>
        <w:t xml:space="preserve">where A does the same.</w:t>
      </w:r>
    </w:p>
    <w:p>
      <w:pPr>
        <w:pStyle w:val="FirstParagraph"/>
      </w:pPr>
      <w:r>
        <w:rPr>
          <w:b/>
          <w:bCs/>
        </w:rPr>
        <w:t xml:space="preserve">§4.5 / §5.5 Match outcomes and efficiency.</w:t>
      </w:r>
      <w:r>
        <w:t xml:space="preserve"> </w:t>
      </w:r>
      <w:r>
        <w:t xml:space="preserve">Essentially identical.</w:t>
      </w:r>
    </w:p>
    <w:p>
      <w:pPr>
        <w:pStyle w:val="Compact"/>
        <w:numPr>
          <w:ilvl w:val="0"/>
          <w:numId w:val="1008"/>
        </w:numPr>
      </w:pPr>
      <w:r>
        <w:t xml:space="preserve">Same regression (</w:t>
      </w:r>
      <w:r>
        <w:rPr>
          <w:rStyle w:val="VerbatimChar"/>
        </w:rPr>
        <w:t xml:space="preserve">eq:match_outcomes</w:t>
      </w:r>
      <w:r>
        <w:t xml:space="preserve">), same figure (</w:t>
      </w:r>
      <w:r>
        <w:rPr>
          <w:rStyle w:val="VerbatimChar"/>
        </w:rPr>
        <w:t xml:space="preserve">fig:trt_effects</w:t>
      </w:r>
      <w:r>
        <w:t xml:space="preserve">), same welfare discussion, same feedback figure (</w:t>
      </w:r>
      <w:r>
        <w:rPr>
          <w:rStyle w:val="VerbatimChar"/>
        </w:rPr>
        <w:t xml:space="preserve">trt_effects_feedback</w:t>
      </w:r>
      <w:r>
        <w:t xml:space="preserve">). Same numerical claims.</w:t>
      </w:r>
    </w:p>
    <w:p>
      <w:pPr>
        <w:pStyle w:val="Compact"/>
        <w:numPr>
          <w:ilvl w:val="0"/>
          <w:numId w:val="1008"/>
        </w:numPr>
      </w:pPr>
      <w:r>
        <w:t xml:space="preserve">Difference: B references the Online Appendix / Supplementary Empirical Appendix (three pointers:</w:t>
      </w:r>
      <w:r>
        <w:t xml:space="preserve"> </w:t>
      </w:r>
      <w:r>
        <w:rPr>
          <w:rStyle w:val="VerbatimChar"/>
        </w:rPr>
        <w:t xml:space="preserve">online_app:welfare</w:t>
      </w:r>
      <w:r>
        <w:t xml:space="preserve">,</w:t>
      </w:r>
      <w:r>
        <w:t xml:space="preserve"> </w:t>
      </w:r>
      <w:r>
        <w:rPr>
          <w:rStyle w:val="VerbatimChar"/>
        </w:rPr>
        <w:t xml:space="preserve">online_app:trt_effects_robust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supp_app:soo</w:t>
      </w:r>
      <w:r>
        <w:t xml:space="preserve">), whereas A references local sections (</w:t>
      </w:r>
      <w:r>
        <w:rPr>
          <w:rStyle w:val="VerbatimChar"/>
        </w:rPr>
        <w:t xml:space="preserve">sec:welfare</w:t>
      </w:r>
      <w:r>
        <w:t xml:space="preserve">,</w:t>
      </w:r>
      <w:r>
        <w:t xml:space="preserve"> </w:t>
      </w:r>
      <w:r>
        <w:rPr>
          <w:rStyle w:val="VerbatimChar"/>
        </w:rPr>
        <w:t xml:space="preserve">sec:trt_effects_robust</w:t>
      </w:r>
      <w:r>
        <w:t xml:space="preserve">,</w:t>
      </w:r>
      <w:r>
        <w:t xml:space="preserve"> </w:t>
      </w:r>
      <w:r>
        <w:rPr>
          <w:rStyle w:val="VerbatimChar"/>
        </w:rPr>
        <w:t xml:space="preserve">sec:soo</w:t>
      </w:r>
      <w:r>
        <w:t xml:space="preserve">). This is the restructuring into AEJ Micro’s</w:t>
      </w:r>
      <w:r>
        <w:t xml:space="preserve"> </w:t>
      </w:r>
      <w:r>
        <w:t xml:space="preserve">“two appendices”</w:t>
      </w:r>
      <w:r>
        <w:t xml:space="preserve"> </w:t>
      </w:r>
      <w:r>
        <w:t xml:space="preserve">scheme — the content is the same, the citations just point to different locations.</w:t>
      </w:r>
    </w:p>
    <w:p>
      <w:pPr>
        <w:pStyle w:val="FirstParagraph"/>
      </w:pPr>
      <w:r>
        <w:rPr>
          <w:b/>
          <w:bCs/>
        </w:rPr>
        <w:t xml:space="preserve">§5.6 Separating Equilibrium in the Long-run — new in B.</w:t>
      </w:r>
    </w:p>
    <w:p>
      <w:pPr>
        <w:pStyle w:val="BodyText"/>
      </w:pPr>
      <w:r>
        <w:t xml:space="preserve">In A, a subsection with exactly this title is commented out at line 1075, and the underlying content (post-experimental market-wide rollout, within-employer stability over time) lives as free-floating paragraphs at the start of the Conclusion. B promotes it to a proper subsection inside Results and ties it directly to the new Prop 1 point 5:</w:t>
      </w:r>
    </w:p>
    <w:p>
      <w:pPr>
        <w:pStyle w:val="BlockText"/>
      </w:pPr>
      <w:r>
        <w:rPr>
          <w:i/>
          <w:iCs/>
        </w:rPr>
        <w:t xml:space="preserve">“If the block-recursive nature of our theory is valid, the insights from the within-market setting should carry over to a treatment of the full market, as the fraction of treated individuals did not matter. A particular implication in Part 5 of Proposition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comparison1</w:t>
      </w:r>
      <w:r>
        <w:rPr>
          <w:i/>
          <w:iCs/>
        </w:rPr>
        <w:t xml:space="preserve"> </w:t>
      </w:r>
      <w:r>
        <w:rPr>
          <w:i/>
          <w:iCs/>
        </w:rPr>
        <w:t xml:space="preserve">is that the incentives to send particular messages should not be affected by the amount of firms that are treated in the market.”</w:t>
      </w:r>
    </w:p>
    <w:p>
      <w:pPr>
        <w:pStyle w:val="FirstParagraph"/>
      </w:pPr>
      <w:r>
        <w:t xml:space="preserve">Introduces</w:t>
      </w:r>
      <w:r>
        <w:t xml:space="preserve"> </w:t>
      </w:r>
      <w:r>
        <w:rPr>
          <w:rStyle w:val="VerbatimChar"/>
        </w:rPr>
        <w:t xml:space="preserve">fig:tiers_over_time</w:t>
      </w:r>
      <w:r>
        <w:t xml:space="preserve"> </w:t>
      </w:r>
      <w:r>
        <w:t xml:space="preserve">(share of tier choices month by month, with experiment-end marker). Discusses within-employer tier stability. References</w:t>
      </w:r>
      <w:r>
        <w:t xml:space="preserve"> </w:t>
      </w:r>
      <w:r>
        <w:rPr>
          <w:rStyle w:val="VerbatimChar"/>
        </w:rPr>
        <w:t xml:space="preserve">online_app:choice_over_time</w:t>
      </w:r>
      <w:r>
        <w:t xml:space="preserve"> </w:t>
      </w:r>
      <w:r>
        <w:t xml:space="preserve">for the repeated-posting analysis.</w:t>
      </w:r>
    </w:p>
    <w:p>
      <w:pPr>
        <w:pStyle w:val="BodyText"/>
      </w:pPr>
      <w:r>
        <w:t xml:space="preserve">This is the main empirical-side addition in B: it’s where the new theory’s point 5 pays off empirically, using post-experimental rollout data that A couldn’t cleanly connect to theory.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rPr>
          <w:b/>
          <w:bCs/>
        </w:rPr>
        <w:t xml:space="preserve">Theory:</w:t>
      </w:r>
      <w:r>
        <w:t xml:space="preserve"> </w:t>
      </w:r>
      <w:r>
        <w:t xml:space="preserve">A is a self-contained standalone model in 260 lines with all math in the body. B keeps the same core model but (i) enriches the primitives (two signals, cost term, outside option, message probability</w:t>
      </w:r>
      <w:r>
        <w:t xml:space="preserve"> </w:t>
      </w:r>
      <m:oMath>
        <m:r>
          <m:t>ρ</m:t>
        </m:r>
      </m:oMath>
      <w:r>
        <w:t xml:space="preserve">), (ii) adds a new prediction about market-wide rollout, (iii) adds a partially-revealing corollary, (iv) defers nearly all derivation to the Online Appendix, (v) adds a new Robustness subsection and a new Truth-telling subsection, and (vi) adds a graphical intuition figure with extensive verbal walkthrough.</w:t>
      </w:r>
    </w:p>
    <w:p>
      <w:pPr>
        <w:pStyle w:val="BodyText"/>
      </w:pPr>
      <w:r>
        <w:rPr>
          <w:b/>
          <w:bCs/>
        </w:rPr>
        <w:t xml:space="preserve">Empirics:</w:t>
      </w:r>
      <w:r>
        <w:t xml:space="preserve"> </w:t>
      </w:r>
      <w:r>
        <w:t xml:space="preserve">Subsections 1, 4, 5 are essentially unchanged. Subsection 2 (Sorting) lost its in-body quantile analysis. Subsection 3 (Applications) lost its in-body discussion of endogenous-application-count ambiguity — because in B’s theory that ambiguity is now native to the proposition. Subsection 6 is new and is where B’s new Prop-1 point 5 meets post-experiment data.</w:t>
      </w:r>
    </w:p>
    <w:p>
      <w:pPr>
        <w:pStyle w:val="BodyText"/>
      </w:pPr>
      <w:r>
        <w:rPr>
          <w:b/>
          <w:bCs/>
        </w:rPr>
        <w:t xml:space="preserve">If the plan is to revert and rebuild from A:</w:t>
      </w:r>
      <w:r>
        <w:t xml:space="preserve"> </w:t>
      </w:r>
      <w:r>
        <w:t xml:space="preserve">the theory side reverts cleanly (A is already standalone). The empirics mostly carry over, with three issues to think about: (a) whether to bring the quantile analysis back into the body, (b) whether to keep the new §5.6 long-run subsection (which requires either keeping Prop 1 point 5 from B or finding another theoretical peg in A), and (c) whether B’s ambiguity-in-applications prediction (which relies on the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term) is worth keeping; if so, the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term needs to migrate into A’s setup.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2026-04-14T23:11:55Z</dcterms:created>
  <dcterms:modified xsi:type="dcterms:W3CDTF">2026-04-14T23:11:55Z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