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jc w:val="center"/>
        <w:rPr>
          <w:sz w:val="42"/>
          <w:szCs w:val="42"/>
        </w:rPr>
      </w:pPr>
      <w:bookmarkStart w:colFirst="0" w:colLast="0" w:name="_y1sdmff1yeom" w:id="0"/>
      <w:bookmarkEnd w:id="0"/>
      <w:r w:rsidDel="00000000" w:rsidR="00000000" w:rsidRPr="00000000">
        <w:rPr>
          <w:sz w:val="42"/>
          <w:szCs w:val="42"/>
          <w:rtl w:val="0"/>
        </w:rPr>
        <w:t xml:space="preserve">Revision TO Dos for </w:t>
      </w:r>
    </w:p>
    <w:p w:rsidR="00000000" w:rsidDel="00000000" w:rsidP="00000000" w:rsidRDefault="00000000" w:rsidRPr="00000000" w14:paraId="00000002">
      <w:pPr>
        <w:pStyle w:val="Title"/>
        <w:jc w:val="center"/>
        <w:rPr>
          <w:sz w:val="42"/>
          <w:szCs w:val="42"/>
        </w:rPr>
      </w:pPr>
      <w:bookmarkStart w:colFirst="0" w:colLast="0" w:name="_rb1rf1fvi4vl" w:id="1"/>
      <w:bookmarkEnd w:id="1"/>
      <w:r w:rsidDel="00000000" w:rsidR="00000000" w:rsidRPr="00000000">
        <w:rPr>
          <w:sz w:val="42"/>
          <w:szCs w:val="42"/>
          <w:rtl w:val="0"/>
        </w:rPr>
        <w:t xml:space="preserve">“</w:t>
      </w:r>
      <w:r w:rsidDel="00000000" w:rsidR="00000000" w:rsidRPr="00000000">
        <w:rPr>
          <w:i w:val="1"/>
          <w:iCs w:val="1"/>
          <w:sz w:val="42"/>
          <w:szCs w:val="42"/>
          <w:rtl w:val="0"/>
        </w:rPr>
        <w:t xml:space="preserve">Sorting through Cheap Talk: Theory and Evidence from a Labor Market</w:t>
      </w:r>
      <w:r w:rsidDel="00000000" w:rsidR="00000000" w:rsidRPr="00000000">
        <w:rPr>
          <w:sz w:val="42"/>
          <w:szCs w:val="42"/>
          <w:rtl w:val="0"/>
        </w:rPr>
        <w:t xml:space="preserve">”</w:t>
      </w:r>
    </w:p>
    <w:p w:rsidR="00000000" w:rsidDel="00000000" w:rsidP="00000000" w:rsidRDefault="00000000" w:rsidRPr="00000000" w14:paraId="00000003">
      <w:pPr>
        <w:jc w:val="center"/>
        <w:rPr>
          <w:i w:val="1"/>
          <w:iCs w:val="1"/>
          <w:sz w:val="40"/>
          <w:szCs w:val="40"/>
        </w:rPr>
      </w:pPr>
      <w:r w:rsidDel="00000000" w:rsidR="00000000" w:rsidRPr="00000000">
        <w:rPr>
          <w:i w:val="1"/>
          <w:iCs w:val="1"/>
          <w:sz w:val="40"/>
          <w:szCs w:val="40"/>
          <w:rtl w:val="0"/>
        </w:rPr>
        <w:t xml:space="preserve">@ AEJ Micro</w:t>
      </w:r>
    </w:p>
    <w:p w:rsidR="00000000" w:rsidDel="00000000" w:rsidP="00000000" w:rsidRDefault="00000000" w:rsidRPr="00000000" w14:paraId="00000004">
      <w:pPr>
        <w:pStyle w:val="Subtitle"/>
        <w:ind w:left="0" w:firstLine="0"/>
        <w:jc w:val="left"/>
        <w:rPr>
          <w:sz w:val="28"/>
          <w:szCs w:val="28"/>
        </w:rPr>
      </w:pPr>
      <w:bookmarkStart w:colFirst="0" w:colLast="0" w:name="_mec12pz97y1y" w:id="2"/>
      <w:bookmarkEnd w:id="2"/>
      <w:r w:rsidDel="00000000" w:rsidR="00000000" w:rsidRPr="00000000">
        <w:rPr>
          <w:sz w:val="28"/>
          <w:szCs w:val="28"/>
          <w:rtl w:val="0"/>
        </w:rPr>
        <w:t xml:space="preserve">  John Horton</w:t>
        <w:tab/>
        <w:tab/>
        <w:tab/>
        <w:t xml:space="preserve">   Ramesh Johari</w:t>
        <w:tab/>
        <w:tab/>
        <w:tab/>
        <w:t xml:space="preserve">    Philipp Kircher</w:t>
      </w:r>
    </w:p>
    <w:p w:rsidR="00000000" w:rsidDel="00000000" w:rsidP="00000000" w:rsidRDefault="00000000" w:rsidRPr="00000000" w14:paraId="00000005">
      <w:pPr>
        <w:rPr/>
      </w:pPr>
      <w:r w:rsidDel="00000000" w:rsidR="00000000" w:rsidRPr="00000000">
        <w:rPr>
          <w:rtl w:val="0"/>
        </w:rPr>
      </w:r>
    </w:p>
    <w:p w:rsidR="00000000" w:rsidDel="00000000" w:rsidP="00000000" w:rsidRDefault="00000000" w:rsidRPr="00000000" w14:paraId="00000006">
      <w:pPr>
        <w:rPr/>
      </w:pPr>
      <w:r w:rsidDel="00000000" w:rsidR="00000000" w:rsidRPr="00000000">
        <w:rPr>
          <w:rtl w:val="0"/>
        </w:rPr>
        <w:t xml:space="preserve">Below is the text from the editor's letter and three referee reports.</w:t>
      </w:r>
    </w:p>
    <w:p w:rsidR="00000000" w:rsidDel="00000000" w:rsidP="00000000" w:rsidRDefault="00000000" w:rsidRPr="00000000" w14:paraId="00000007">
      <w:pPr>
        <w:pStyle w:val="Heading1"/>
        <w:rPr>
          <w:sz w:val="38"/>
          <w:szCs w:val="38"/>
        </w:rPr>
      </w:pPr>
      <w:bookmarkStart w:colFirst="0" w:colLast="0" w:name="_ayjxjllhyxuf" w:id="3"/>
      <w:bookmarkEnd w:id="3"/>
      <w:r w:rsidDel="00000000" w:rsidR="00000000" w:rsidRPr="00000000">
        <w:rPr>
          <w:sz w:val="38"/>
          <w:szCs w:val="38"/>
          <w:rtl w:val="0"/>
        </w:rPr>
        <w:t xml:space="preserve">Editor’s Letter</w:t>
      </w:r>
    </w:p>
    <w:p w:rsidR="00000000" w:rsidDel="00000000" w:rsidP="00000000" w:rsidRDefault="00000000" w:rsidRPr="00000000" w14:paraId="00000008">
      <w:pPr>
        <w:spacing w:after="240" w:before="240" w:lineRule="auto"/>
        <w:rPr>
          <w:sz w:val="20"/>
          <w:szCs w:val="20"/>
        </w:rPr>
      </w:pPr>
      <w:r w:rsidDel="00000000" w:rsidR="00000000" w:rsidRPr="00000000">
        <w:rPr>
          <w:sz w:val="20"/>
          <w:szCs w:val="20"/>
          <w:rtl w:val="0"/>
        </w:rPr>
        <w:t xml:space="preserve">Thank you for submitting this paper to the </w:t>
      </w:r>
      <w:r w:rsidDel="00000000" w:rsidR="00000000" w:rsidRPr="00000000">
        <w:rPr>
          <w:i w:val="1"/>
          <w:iCs w:val="1"/>
          <w:sz w:val="20"/>
          <w:szCs w:val="20"/>
          <w:rtl w:val="0"/>
        </w:rPr>
        <w:t xml:space="preserve">American Economic Journal: Microeconomics</w:t>
      </w:r>
      <w:r w:rsidDel="00000000" w:rsidR="00000000" w:rsidRPr="00000000">
        <w:rPr>
          <w:sz w:val="20"/>
          <w:szCs w:val="20"/>
          <w:rtl w:val="0"/>
        </w:rPr>
        <w:t xml:space="preserve"> (AEJ Micro). Based on the advice of three referees and my own reading, I am inviting a </w:t>
      </w:r>
      <w:r w:rsidDel="00000000" w:rsidR="00000000" w:rsidRPr="00000000">
        <w:rPr>
          <w:b w:val="1"/>
          <w:bCs w:val="1"/>
          <w:sz w:val="20"/>
          <w:szCs w:val="20"/>
          <w:rtl w:val="0"/>
        </w:rPr>
        <w:t xml:space="preserve">revision for possible publication</w:t>
      </w:r>
      <w:r w:rsidDel="00000000" w:rsidR="00000000" w:rsidRPr="00000000">
        <w:rPr>
          <w:sz w:val="20"/>
          <w:szCs w:val="20"/>
          <w:rtl w:val="0"/>
        </w:rPr>
        <w:t xml:space="preserve"> in AEJ Micro.</w:t>
      </w:r>
    </w:p>
    <w:p w:rsidR="00000000" w:rsidDel="00000000" w:rsidP="00000000" w:rsidRDefault="00000000" w:rsidRPr="00000000" w14:paraId="00000009">
      <w:pPr>
        <w:spacing w:after="240" w:before="240" w:lineRule="auto"/>
        <w:rPr>
          <w:sz w:val="20"/>
          <w:szCs w:val="20"/>
        </w:rPr>
      </w:pPr>
      <w:r w:rsidDel="00000000" w:rsidR="00000000" w:rsidRPr="00000000">
        <w:rPr>
          <w:sz w:val="20"/>
          <w:szCs w:val="20"/>
          <w:rtl w:val="0"/>
        </w:rPr>
        <w:t xml:space="preserve">This is a very promising paper. It combines a theoretical model of cheap talk in labor markets with an impressively large and well-designed field experiment. The experiment is compelling and generates clear results: the cheap-talk device improves sorting, affects wages, and increases efficiency. The contribution is significant, and the paper has the potential to have impact. All three referees recommend that I invite a revision.</w:t>
      </w:r>
    </w:p>
    <w:p w:rsidR="00000000" w:rsidDel="00000000" w:rsidP="00000000" w:rsidRDefault="00000000" w:rsidRPr="00000000" w14:paraId="0000000A">
      <w:pPr>
        <w:spacing w:after="240" w:before="240" w:lineRule="auto"/>
        <w:rPr>
          <w:sz w:val="20"/>
          <w:szCs w:val="20"/>
        </w:rPr>
      </w:pPr>
      <w:r w:rsidDel="00000000" w:rsidR="00000000" w:rsidRPr="00000000">
        <w:rPr>
          <w:sz w:val="20"/>
          <w:szCs w:val="20"/>
          <w:rtl w:val="0"/>
        </w:rPr>
        <w:t xml:space="preserve">However, there are also concerns that need to be addressed before the paper can be published in AEJ Micro. In particular, the current </w:t>
      </w:r>
      <w:r w:rsidDel="00000000" w:rsidR="00000000" w:rsidRPr="00000000">
        <w:rPr>
          <w:sz w:val="20"/>
          <w:szCs w:val="20"/>
          <w:highlight w:val="yellow"/>
          <w:rtl w:val="0"/>
        </w:rPr>
        <w:t xml:space="preserve">presentation of the model is not clear enough for the journal’s readership</w:t>
      </w:r>
      <w:r w:rsidDel="00000000" w:rsidR="00000000" w:rsidRPr="00000000">
        <w:rPr>
          <w:sz w:val="20"/>
          <w:szCs w:val="20"/>
          <w:rtl w:val="0"/>
        </w:rPr>
        <w:t xml:space="preserve">; Referee 2 (whose report begins </w:t>
      </w:r>
      <w:r w:rsidDel="00000000" w:rsidR="00000000" w:rsidRPr="00000000">
        <w:rPr>
          <w:i w:val="1"/>
          <w:iCs w:val="1"/>
          <w:sz w:val="20"/>
          <w:szCs w:val="20"/>
          <w:rtl w:val="0"/>
        </w:rPr>
        <w:t xml:space="preserve">“This paper theoretically and experimentally…”</w:t>
      </w:r>
      <w:r w:rsidDel="00000000" w:rsidR="00000000" w:rsidRPr="00000000">
        <w:rPr>
          <w:sz w:val="20"/>
          <w:szCs w:val="20"/>
          <w:rtl w:val="0"/>
        </w:rPr>
        <w:t xml:space="preserve">) found this section especially difficult to follow, and I share that view. Referee 3 (</w:t>
      </w:r>
      <w:r w:rsidDel="00000000" w:rsidR="00000000" w:rsidRPr="00000000">
        <w:rPr>
          <w:i w:val="1"/>
          <w:iCs w:val="1"/>
          <w:sz w:val="20"/>
          <w:szCs w:val="20"/>
          <w:rtl w:val="0"/>
        </w:rPr>
        <w:t xml:space="preserve">“This is a great…”</w:t>
      </w:r>
      <w:r w:rsidDel="00000000" w:rsidR="00000000" w:rsidRPr="00000000">
        <w:rPr>
          <w:sz w:val="20"/>
          <w:szCs w:val="20"/>
          <w:rtl w:val="0"/>
        </w:rPr>
        <w:t xml:space="preserve">) also suggested that the framing of the paper should be sharpened considering subsequent developments in the literature.</w:t>
      </w:r>
    </w:p>
    <w:p w:rsidR="00000000" w:rsidDel="00000000" w:rsidP="00000000" w:rsidRDefault="00000000" w:rsidRPr="00000000" w14:paraId="0000000B">
      <w:pPr>
        <w:pStyle w:val="Heading3"/>
        <w:keepNext w:val="0"/>
        <w:keepLines w:val="0"/>
        <w:spacing w:before="280" w:lineRule="auto"/>
        <w:rPr>
          <w:b w:val="1"/>
          <w:bCs w:val="1"/>
          <w:color w:val="000000"/>
          <w:sz w:val="24"/>
          <w:szCs w:val="24"/>
        </w:rPr>
      </w:pPr>
      <w:bookmarkStart w:colFirst="0" w:colLast="0" w:name="_g3rvc9rtqhzj" w:id="4"/>
      <w:bookmarkEnd w:id="4"/>
      <w:r w:rsidDel="00000000" w:rsidR="00000000" w:rsidRPr="00000000">
        <w:rPr>
          <w:b w:val="1"/>
          <w:bCs w:val="1"/>
          <w:color w:val="000000"/>
          <w:sz w:val="24"/>
          <w:szCs w:val="24"/>
          <w:rtl w:val="0"/>
        </w:rPr>
        <w:t xml:space="preserve">Key goals for the revision</w:t>
      </w:r>
    </w:p>
    <w:p w:rsidR="00000000" w:rsidDel="00000000" w:rsidP="00000000" w:rsidRDefault="00000000" w:rsidRPr="00000000" w14:paraId="0000000C">
      <w:pPr>
        <w:pStyle w:val="Heading4"/>
        <w:keepNext w:val="0"/>
        <w:keepLines w:val="0"/>
        <w:spacing w:after="40" w:before="240" w:lineRule="auto"/>
        <w:rPr>
          <w:b w:val="1"/>
          <w:bCs w:val="1"/>
          <w:color w:val="000000"/>
          <w:sz w:val="20"/>
          <w:szCs w:val="20"/>
        </w:rPr>
      </w:pPr>
      <w:bookmarkStart w:colFirst="0" w:colLast="0" w:name="_efek1fyd05hi" w:id="5"/>
      <w:bookmarkEnd w:id="5"/>
      <w:r w:rsidDel="00000000" w:rsidR="00000000" w:rsidRPr="00000000">
        <w:rPr>
          <w:b w:val="1"/>
          <w:bCs w:val="1"/>
          <w:color w:val="000000"/>
          <w:sz w:val="20"/>
          <w:szCs w:val="20"/>
          <w:rtl w:val="0"/>
        </w:rPr>
        <w:t xml:space="preserve">1. Model section</w:t>
      </w:r>
    </w:p>
    <w:p w:rsidR="00000000" w:rsidDel="00000000" w:rsidP="00000000" w:rsidRDefault="00000000" w:rsidRPr="00000000" w14:paraId="0000000D">
      <w:pPr>
        <w:spacing w:after="240" w:before="240" w:lineRule="auto"/>
        <w:rPr>
          <w:sz w:val="20"/>
          <w:szCs w:val="20"/>
        </w:rPr>
      </w:pPr>
      <w:r w:rsidDel="00000000" w:rsidR="00000000" w:rsidRPr="00000000">
        <w:rPr>
          <w:sz w:val="20"/>
          <w:szCs w:val="20"/>
          <w:rtl w:val="0"/>
        </w:rPr>
        <w:t xml:space="preserve">While the model is appropriate for your empirical setting, its exposition falls short. I agree with Referee 2 that mixing formal assumptions with intuition, and </w:t>
      </w:r>
      <w:r w:rsidDel="00000000" w:rsidR="00000000" w:rsidRPr="00000000">
        <w:rPr>
          <w:sz w:val="20"/>
          <w:szCs w:val="20"/>
          <w:highlight w:val="yellow"/>
          <w:rtl w:val="0"/>
        </w:rPr>
        <w:t xml:space="preserve">requiring the reader to toggle between multiple sections</w:t>
      </w:r>
      <w:r w:rsidDel="00000000" w:rsidR="00000000" w:rsidRPr="00000000">
        <w:rPr>
          <w:sz w:val="20"/>
          <w:szCs w:val="20"/>
          <w:rtl w:val="0"/>
        </w:rPr>
        <w:t xml:space="preserve"> and appendices, is not up to AEJ Micro standards. Moreover, I could not find either your </w:t>
      </w:r>
      <w:r w:rsidDel="00000000" w:rsidR="00000000" w:rsidRPr="00000000">
        <w:rPr>
          <w:i w:val="1"/>
          <w:iCs w:val="1"/>
          <w:sz w:val="20"/>
          <w:szCs w:val="20"/>
          <w:rtl w:val="0"/>
        </w:rPr>
        <w:t xml:space="preserve">supplementary appendix</w:t>
      </w:r>
      <w:r w:rsidDel="00000000" w:rsidR="00000000" w:rsidRPr="00000000">
        <w:rPr>
          <w:sz w:val="20"/>
          <w:szCs w:val="20"/>
          <w:rtl w:val="0"/>
        </w:rPr>
        <w:t xml:space="preserve"> or your </w:t>
      </w:r>
      <w:r w:rsidDel="00000000" w:rsidR="00000000" w:rsidRPr="00000000">
        <w:rPr>
          <w:i w:val="1"/>
          <w:iCs w:val="1"/>
          <w:sz w:val="20"/>
          <w:szCs w:val="20"/>
          <w:rtl w:val="0"/>
        </w:rPr>
        <w:t xml:space="preserve">online appendix</w:t>
      </w:r>
      <w:r w:rsidDel="00000000" w:rsidR="00000000" w:rsidRPr="00000000">
        <w:rPr>
          <w:sz w:val="20"/>
          <w:szCs w:val="20"/>
          <w:rtl w:val="0"/>
        </w:rPr>
        <w:t xml:space="preserve"> with the submission, so it is impossible to assess the full model.</w:t>
      </w:r>
    </w:p>
    <w:p w:rsidR="00000000" w:rsidDel="00000000" w:rsidP="00000000" w:rsidRDefault="00000000" w:rsidRPr="00000000" w14:paraId="0000000E">
      <w:pPr>
        <w:spacing w:after="240" w:before="240" w:lineRule="auto"/>
        <w:rPr>
          <w:sz w:val="20"/>
          <w:szCs w:val="20"/>
        </w:rPr>
      </w:pPr>
      <w:r w:rsidDel="00000000" w:rsidR="00000000" w:rsidRPr="00000000">
        <w:rPr>
          <w:sz w:val="20"/>
          <w:szCs w:val="20"/>
          <w:rtl w:val="0"/>
        </w:rPr>
        <w:t xml:space="preserve">Please improve the presentation of the model and analysis, with the following points in mind:</w:t>
      </w:r>
    </w:p>
    <w:p w:rsidR="00000000" w:rsidDel="00000000" w:rsidP="00000000" w:rsidRDefault="00000000" w:rsidRPr="00000000" w14:paraId="0000000F">
      <w:pPr>
        <w:spacing w:after="240" w:before="240" w:lineRule="auto"/>
        <w:rPr>
          <w:sz w:val="20"/>
          <w:szCs w:val="20"/>
        </w:rPr>
      </w:pPr>
      <w:r w:rsidDel="00000000" w:rsidR="00000000" w:rsidRPr="00000000">
        <w:rPr>
          <w:sz w:val="20"/>
          <w:szCs w:val="20"/>
          <w:rtl w:val="0"/>
        </w:rPr>
        <w:t xml:space="preserve">a) </w:t>
      </w:r>
      <w:r w:rsidDel="00000000" w:rsidR="00000000" w:rsidRPr="00000000">
        <w:rPr>
          <w:b w:val="1"/>
          <w:bCs w:val="1"/>
          <w:sz w:val="20"/>
          <w:szCs w:val="20"/>
          <w:rtl w:val="0"/>
        </w:rPr>
        <w:t xml:space="preserve">Separate formalism from intuition.</w:t>
      </w:r>
      <w:r w:rsidDel="00000000" w:rsidR="00000000" w:rsidRPr="00000000">
        <w:rPr>
          <w:sz w:val="20"/>
          <w:szCs w:val="20"/>
          <w:rtl w:val="0"/>
        </w:rPr>
        <w:t xml:space="preserve"> </w:t>
      </w:r>
      <w:r w:rsidDel="00000000" w:rsidR="00000000" w:rsidRPr="00000000">
        <w:rPr>
          <w:sz w:val="20"/>
          <w:szCs w:val="20"/>
          <w:highlight w:val="yellow"/>
          <w:rtl w:val="0"/>
        </w:rPr>
        <w:t xml:space="preserve">Present the formal model clearly and cleanly, and then provide the intuition.</w:t>
      </w:r>
      <w:r w:rsidDel="00000000" w:rsidR="00000000" w:rsidRPr="00000000">
        <w:rPr>
          <w:sz w:val="20"/>
          <w:szCs w:val="20"/>
          <w:rtl w:val="0"/>
        </w:rPr>
        <w:t xml:space="preserve"> Readers should be able to distinguish formalism from commentary and understand the model on its own.</w:t>
      </w:r>
    </w:p>
    <w:p w:rsidR="00000000" w:rsidDel="00000000" w:rsidP="00000000" w:rsidRDefault="00000000" w:rsidRPr="00000000" w14:paraId="00000010">
      <w:pPr>
        <w:spacing w:after="240" w:before="240" w:lineRule="auto"/>
        <w:rPr>
          <w:sz w:val="20"/>
          <w:szCs w:val="20"/>
        </w:rPr>
      </w:pPr>
      <w:r w:rsidDel="00000000" w:rsidR="00000000" w:rsidRPr="00000000">
        <w:rPr>
          <w:sz w:val="20"/>
          <w:szCs w:val="20"/>
          <w:rtl w:val="0"/>
        </w:rPr>
        <w:t xml:space="preserve">b) </w:t>
      </w:r>
      <w:r w:rsidDel="00000000" w:rsidR="00000000" w:rsidRPr="00000000">
        <w:rPr>
          <w:b w:val="1"/>
          <w:bCs w:val="1"/>
          <w:sz w:val="20"/>
          <w:szCs w:val="20"/>
          <w:highlight w:val="yellow"/>
          <w:rtl w:val="0"/>
        </w:rPr>
        <w:t xml:space="preserve">Trim defensive writing</w:t>
      </w:r>
      <w:r w:rsidDel="00000000" w:rsidR="00000000" w:rsidRPr="00000000">
        <w:rPr>
          <w:b w:val="1"/>
          <w:bCs w:val="1"/>
          <w:sz w:val="20"/>
          <w:szCs w:val="20"/>
          <w:rtl w:val="0"/>
        </w:rPr>
        <w:t xml:space="preserve">.</w:t>
      </w:r>
      <w:r w:rsidDel="00000000" w:rsidR="00000000" w:rsidRPr="00000000">
        <w:rPr>
          <w:sz w:val="20"/>
          <w:szCs w:val="20"/>
          <w:rtl w:val="0"/>
        </w:rPr>
        <w:t xml:space="preserve"> Early passages hedge about generality and alternative modeling choices. These are distracting and sometimes confusing. Streamline for a crisp statement of the model.</w:t>
      </w:r>
    </w:p>
    <w:p w:rsidR="00000000" w:rsidDel="00000000" w:rsidP="00000000" w:rsidRDefault="00000000" w:rsidRPr="00000000" w14:paraId="00000011">
      <w:pPr>
        <w:spacing w:after="240" w:before="240" w:lineRule="auto"/>
        <w:rPr>
          <w:sz w:val="20"/>
          <w:szCs w:val="20"/>
          <w:highlight w:val="yellow"/>
        </w:rPr>
      </w:pPr>
      <w:r w:rsidDel="00000000" w:rsidR="00000000" w:rsidRPr="00000000">
        <w:rPr>
          <w:sz w:val="20"/>
          <w:szCs w:val="20"/>
          <w:rtl w:val="0"/>
        </w:rPr>
        <w:t xml:space="preserve">c) </w:t>
      </w:r>
      <w:r w:rsidDel="00000000" w:rsidR="00000000" w:rsidRPr="00000000">
        <w:rPr>
          <w:b w:val="1"/>
          <w:bCs w:val="1"/>
          <w:sz w:val="20"/>
          <w:szCs w:val="20"/>
          <w:rtl w:val="0"/>
        </w:rPr>
        <w:t xml:space="preserve">Clarify definitions and logic.</w:t>
      </w:r>
      <w:r w:rsidDel="00000000" w:rsidR="00000000" w:rsidRPr="00000000">
        <w:rPr>
          <w:sz w:val="20"/>
          <w:szCs w:val="20"/>
          <w:rtl w:val="0"/>
        </w:rPr>
        <w:t xml:space="preserve"> Define all terms precisely—e.g., what you mean by a “large market.” </w:t>
      </w:r>
      <w:r w:rsidDel="00000000" w:rsidR="00000000" w:rsidRPr="00000000">
        <w:rPr>
          <w:sz w:val="20"/>
          <w:szCs w:val="20"/>
          <w:highlight w:val="yellow"/>
          <w:rtl w:val="0"/>
        </w:rPr>
        <w:t xml:space="preserve">Introduce truthtelling before it appears in Proposition 1.</w:t>
      </w:r>
      <w:r w:rsidDel="00000000" w:rsidR="00000000" w:rsidRPr="00000000">
        <w:rPr>
          <w:sz w:val="20"/>
          <w:szCs w:val="20"/>
          <w:rtl w:val="0"/>
        </w:rPr>
        <w:t xml:space="preserve"> Be </w:t>
      </w:r>
      <w:r w:rsidDel="00000000" w:rsidR="00000000" w:rsidRPr="00000000">
        <w:rPr>
          <w:sz w:val="20"/>
          <w:szCs w:val="20"/>
          <w:highlight w:val="yellow"/>
          <w:rtl w:val="0"/>
        </w:rPr>
        <w:t xml:space="preserve">transparent about the role of both signals (s_1, s_2)</w:t>
      </w:r>
      <w:r w:rsidDel="00000000" w:rsidR="00000000" w:rsidRPr="00000000">
        <w:rPr>
          <w:sz w:val="20"/>
          <w:szCs w:val="20"/>
          <w:rtl w:val="0"/>
        </w:rPr>
        <w:t xml:space="preserve">. As </w:t>
      </w:r>
      <w:r w:rsidDel="00000000" w:rsidR="00000000" w:rsidRPr="00000000">
        <w:rPr>
          <w:sz w:val="20"/>
          <w:szCs w:val="20"/>
          <w:highlight w:val="yellow"/>
          <w:rtl w:val="0"/>
        </w:rPr>
        <w:t xml:space="preserve">Referee 2 noted, if s_2 is nearly perfectly revealing, the wage effects of cheap talk should vanish—yet you report non-trivial effects</w:t>
      </w:r>
      <w:r w:rsidDel="00000000" w:rsidR="00000000" w:rsidRPr="00000000">
        <w:rPr>
          <w:sz w:val="20"/>
          <w:szCs w:val="20"/>
          <w:rtl w:val="0"/>
        </w:rPr>
        <w:t xml:space="preserve">. Please reconcile this. Also </w:t>
      </w:r>
      <w:r w:rsidDel="00000000" w:rsidR="00000000" w:rsidRPr="00000000">
        <w:rPr>
          <w:sz w:val="20"/>
          <w:szCs w:val="20"/>
          <w:highlight w:val="yellow"/>
          <w:rtl w:val="0"/>
        </w:rPr>
        <w:t xml:space="preserve">clarify why s_1 is needed: is it to generate sorting without cheap talk? If so, perhaps exclude it from the baseline model.</w:t>
      </w:r>
    </w:p>
    <w:p w:rsidR="00000000" w:rsidDel="00000000" w:rsidP="00000000" w:rsidRDefault="00000000" w:rsidRPr="00000000" w14:paraId="00000012">
      <w:pPr>
        <w:spacing w:after="240" w:before="240" w:lineRule="auto"/>
        <w:rPr>
          <w:sz w:val="20"/>
          <w:szCs w:val="20"/>
        </w:rPr>
      </w:pPr>
      <w:r w:rsidDel="00000000" w:rsidR="00000000" w:rsidRPr="00000000">
        <w:rPr>
          <w:sz w:val="20"/>
          <w:szCs w:val="20"/>
          <w:rtl w:val="0"/>
        </w:rPr>
        <w:t xml:space="preserve">d) </w:t>
      </w:r>
      <w:r w:rsidDel="00000000" w:rsidR="00000000" w:rsidRPr="00000000">
        <w:rPr>
          <w:b w:val="1"/>
          <w:bCs w:val="1"/>
          <w:sz w:val="20"/>
          <w:szCs w:val="20"/>
          <w:highlight w:val="yellow"/>
          <w:rtl w:val="0"/>
        </w:rPr>
        <w:t xml:space="preserve">Improve organization</w:t>
      </w:r>
      <w:r w:rsidDel="00000000" w:rsidR="00000000" w:rsidRPr="00000000">
        <w:rPr>
          <w:b w:val="1"/>
          <w:bCs w:val="1"/>
          <w:sz w:val="20"/>
          <w:szCs w:val="20"/>
          <w:rtl w:val="0"/>
        </w:rPr>
        <w:t xml:space="preserve">.</w:t>
      </w:r>
      <w:r w:rsidDel="00000000" w:rsidR="00000000" w:rsidRPr="00000000">
        <w:rPr>
          <w:sz w:val="20"/>
          <w:szCs w:val="20"/>
          <w:rtl w:val="0"/>
        </w:rPr>
        <w:t xml:space="preserve"> Currently, to understand Proposition 1 a reader must consult the body, main appendix, and supplementary appendix. The graphical intuition in the main appendix is difficult to follow. The paper and main (“in-print”) appendix should together provide a self-contained sketch of the main results, deferring details to the supplementary appendix. (At AEJ Micro, there are only those two kinds of appendices.) You must still adhere to page-length guidelines.</w:t>
      </w:r>
    </w:p>
    <w:p w:rsidR="00000000" w:rsidDel="00000000" w:rsidP="00000000" w:rsidRDefault="00000000" w:rsidRPr="00000000" w14:paraId="00000013">
      <w:pPr>
        <w:spacing w:after="240" w:before="240" w:lineRule="auto"/>
        <w:rPr>
          <w:sz w:val="20"/>
          <w:szCs w:val="20"/>
        </w:rPr>
      </w:pPr>
      <w:r w:rsidDel="00000000" w:rsidR="00000000" w:rsidRPr="00000000">
        <w:rPr>
          <w:sz w:val="20"/>
          <w:szCs w:val="20"/>
          <w:rtl w:val="0"/>
        </w:rPr>
        <w:t xml:space="preserve">Overall, AEJ Micro publishes both top-field theoretical and theoretically grounded empirical papers. Models should have the clarity and precision expected by theorists but remain accessible to a broad microeconomics audience. Please revise your model section accordingly. I am not micromanaging at this stage, but I reserve the right to do so in the next round.</w:t>
      </w:r>
    </w:p>
    <w:p w:rsidR="00000000" w:rsidDel="00000000" w:rsidP="00000000" w:rsidRDefault="00000000" w:rsidRPr="00000000" w14:paraId="00000014">
      <w:pPr>
        <w:pStyle w:val="Heading4"/>
        <w:keepNext w:val="0"/>
        <w:keepLines w:val="0"/>
        <w:spacing w:after="40" w:before="240" w:lineRule="auto"/>
        <w:rPr>
          <w:b w:val="1"/>
          <w:bCs w:val="1"/>
          <w:color w:val="000000"/>
          <w:sz w:val="20"/>
          <w:szCs w:val="20"/>
        </w:rPr>
      </w:pPr>
      <w:bookmarkStart w:colFirst="0" w:colLast="0" w:name="_36qozxz1dge3" w:id="6"/>
      <w:bookmarkEnd w:id="6"/>
      <w:r w:rsidDel="00000000" w:rsidR="00000000" w:rsidRPr="00000000">
        <w:rPr>
          <w:b w:val="1"/>
          <w:bCs w:val="1"/>
          <w:color w:val="000000"/>
          <w:sz w:val="20"/>
          <w:szCs w:val="20"/>
          <w:rtl w:val="0"/>
        </w:rPr>
        <w:t xml:space="preserve">2. Framing and literature positioning</w:t>
      </w:r>
    </w:p>
    <w:p w:rsidR="00000000" w:rsidDel="00000000" w:rsidP="00000000" w:rsidRDefault="00000000" w:rsidRPr="00000000" w14:paraId="00000015">
      <w:pPr>
        <w:spacing w:after="240" w:before="240" w:lineRule="auto"/>
        <w:rPr>
          <w:sz w:val="20"/>
          <w:szCs w:val="20"/>
        </w:rPr>
      </w:pPr>
      <w:r w:rsidDel="00000000" w:rsidR="00000000" w:rsidRPr="00000000">
        <w:rPr>
          <w:sz w:val="20"/>
          <w:szCs w:val="20"/>
          <w:rtl w:val="0"/>
        </w:rPr>
        <w:t xml:space="preserve">Referee 3 emphasized improving the framing by connecting more directly to the literature. I concur. Please address their points 1–3. In addition, note that this paper—and perhaps others cited—also relates to work on credible communication in labor markets, including costly signaling models (see also point 5 below).</w:t>
      </w:r>
    </w:p>
    <w:p w:rsidR="00000000" w:rsidDel="00000000" w:rsidP="00000000" w:rsidRDefault="00000000" w:rsidRPr="00000000" w14:paraId="00000016">
      <w:pPr>
        <w:spacing w:after="240" w:before="240" w:lineRule="auto"/>
        <w:rPr>
          <w:sz w:val="20"/>
          <w:szCs w:val="20"/>
        </w:rPr>
      </w:pPr>
      <w:r w:rsidDel="00000000" w:rsidR="00000000" w:rsidRPr="00000000">
        <w:rPr>
          <w:sz w:val="20"/>
          <w:szCs w:val="20"/>
          <w:rtl w:val="0"/>
        </w:rPr>
        <w:t xml:space="preserve">Besides these points, please incorporate any other referee suggestions you find helpful. While I am not mandating all of them, you should obviously fix typos, ambiguities, and similar issues, and consider Referee 2’s specific comments.</w:t>
      </w:r>
    </w:p>
    <w:p w:rsidR="00000000" w:rsidDel="00000000" w:rsidP="00000000" w:rsidRDefault="00000000" w:rsidRPr="00000000" w14:paraId="00000017">
      <w:pPr>
        <w:pStyle w:val="Heading3"/>
        <w:keepNext w:val="0"/>
        <w:keepLines w:val="0"/>
        <w:spacing w:before="280" w:lineRule="auto"/>
        <w:rPr>
          <w:b w:val="1"/>
          <w:bCs w:val="1"/>
          <w:color w:val="000000"/>
          <w:sz w:val="24"/>
          <w:szCs w:val="24"/>
        </w:rPr>
      </w:pPr>
      <w:bookmarkStart w:colFirst="0" w:colLast="0" w:name="_ge804c94z15d" w:id="7"/>
      <w:bookmarkEnd w:id="7"/>
      <w:r w:rsidDel="00000000" w:rsidR="00000000" w:rsidRPr="00000000">
        <w:rPr>
          <w:b w:val="1"/>
          <w:bCs w:val="1"/>
          <w:color w:val="000000"/>
          <w:sz w:val="24"/>
          <w:szCs w:val="24"/>
          <w:rtl w:val="0"/>
        </w:rPr>
        <w:t xml:space="preserve">Additional comments</w:t>
      </w:r>
    </w:p>
    <w:p w:rsidR="00000000" w:rsidDel="00000000" w:rsidP="00000000" w:rsidRDefault="00000000" w:rsidRPr="00000000" w14:paraId="00000018">
      <w:pPr>
        <w:numPr>
          <w:ilvl w:val="0"/>
          <w:numId w:val="2"/>
        </w:numPr>
        <w:spacing w:after="0" w:afterAutospacing="0" w:before="240" w:lineRule="auto"/>
        <w:ind w:left="720" w:hanging="360"/>
        <w:rPr>
          <w:sz w:val="20"/>
          <w:szCs w:val="20"/>
        </w:rPr>
      </w:pPr>
      <w:r w:rsidDel="00000000" w:rsidR="00000000" w:rsidRPr="00000000">
        <w:rPr>
          <w:b w:val="1"/>
          <w:bCs w:val="1"/>
          <w:sz w:val="20"/>
          <w:szCs w:val="20"/>
          <w:rtl w:val="0"/>
        </w:rPr>
        <w:t xml:space="preserve">Wage determination.</w:t>
      </w:r>
      <w:r w:rsidDel="00000000" w:rsidR="00000000" w:rsidRPr="00000000">
        <w:rPr>
          <w:sz w:val="20"/>
          <w:szCs w:val="20"/>
          <w:rtl w:val="0"/>
        </w:rPr>
        <w:t xml:space="preserve"> </w:t>
      </w:r>
      <w:r w:rsidDel="00000000" w:rsidR="00000000" w:rsidRPr="00000000">
        <w:rPr>
          <w:sz w:val="20"/>
          <w:szCs w:val="20"/>
          <w:shd w:fill="ff9900" w:val="clear"/>
          <w:rtl w:val="0"/>
        </w:rPr>
        <w:t xml:space="preserve">You assume the firm pays the demanded wage. Is this realistic for your application—i.e., is there truly no wage bargaining? Could it occur outside the platform?</w:t>
      </w:r>
      <w:r w:rsidDel="00000000" w:rsidR="00000000" w:rsidRPr="00000000">
        <w:rPr>
          <w:sz w:val="20"/>
          <w:szCs w:val="20"/>
          <w:rtl w:val="0"/>
        </w:rPr>
        <w:t xml:space="preserve"> How would this affect your analysis?</w:t>
      </w:r>
    </w:p>
    <w:p w:rsidR="00000000" w:rsidDel="00000000" w:rsidP="00000000" w:rsidRDefault="00000000" w:rsidRPr="00000000" w14:paraId="00000019">
      <w:pPr>
        <w:numPr>
          <w:ilvl w:val="0"/>
          <w:numId w:val="2"/>
        </w:numPr>
        <w:spacing w:after="0" w:afterAutospacing="0" w:before="0" w:beforeAutospacing="0" w:lineRule="auto"/>
        <w:ind w:left="720" w:hanging="360"/>
        <w:rPr>
          <w:sz w:val="20"/>
          <w:szCs w:val="20"/>
        </w:rPr>
      </w:pPr>
      <w:r w:rsidDel="00000000" w:rsidR="00000000" w:rsidRPr="00000000">
        <w:rPr>
          <w:b w:val="1"/>
          <w:bCs w:val="1"/>
          <w:sz w:val="20"/>
          <w:szCs w:val="20"/>
          <w:rtl w:val="0"/>
        </w:rPr>
        <w:t xml:space="preserve">Truthtelling preferences.</w:t>
      </w:r>
      <w:r w:rsidDel="00000000" w:rsidR="00000000" w:rsidRPr="00000000">
        <w:rPr>
          <w:sz w:val="20"/>
          <w:szCs w:val="20"/>
          <w:rtl w:val="0"/>
        </w:rPr>
        <w:t xml:space="preserve"> In the introduction you write, “lack of incentives makes truth-telling a focal point.” Is there evidence for that? You might cite literature on preferences for truth-telling even without incentives (e.g., Kartik 2009; Abeler et al. 2019). Such preferences could allow separation even where a pure cheap-talk model predicts pooling. How does this relate to your conditions for separation under pure cheap talk?</w:t>
      </w:r>
    </w:p>
    <w:p w:rsidR="00000000" w:rsidDel="00000000" w:rsidP="00000000" w:rsidRDefault="00000000" w:rsidRPr="00000000" w14:paraId="0000001A">
      <w:pPr>
        <w:numPr>
          <w:ilvl w:val="0"/>
          <w:numId w:val="2"/>
        </w:numPr>
        <w:spacing w:after="0" w:afterAutospacing="0" w:before="0" w:beforeAutospacing="0" w:lineRule="auto"/>
        <w:ind w:left="720" w:hanging="360"/>
        <w:rPr>
          <w:sz w:val="20"/>
          <w:szCs w:val="20"/>
        </w:rPr>
      </w:pPr>
      <w:r w:rsidDel="00000000" w:rsidR="00000000" w:rsidRPr="00000000">
        <w:rPr>
          <w:b w:val="1"/>
          <w:bCs w:val="1"/>
          <w:sz w:val="20"/>
          <w:szCs w:val="20"/>
          <w:rtl w:val="0"/>
        </w:rPr>
        <w:t xml:space="preserve">Minor issues.</w:t>
      </w:r>
    </w:p>
    <w:p w:rsidR="00000000" w:rsidDel="00000000" w:rsidP="00000000" w:rsidRDefault="00000000" w:rsidRPr="00000000" w14:paraId="0000001B">
      <w:pPr>
        <w:numPr>
          <w:ilvl w:val="1"/>
          <w:numId w:val="2"/>
        </w:numPr>
        <w:spacing w:after="0" w:afterAutospacing="0" w:before="0" w:beforeAutospacing="0" w:lineRule="auto"/>
        <w:ind w:left="1440" w:hanging="360"/>
        <w:rPr>
          <w:sz w:val="20"/>
          <w:szCs w:val="20"/>
        </w:rPr>
      </w:pPr>
      <w:r w:rsidDel="00000000" w:rsidR="00000000" w:rsidRPr="00000000">
        <w:rPr>
          <w:b w:val="1"/>
          <w:bCs w:val="1"/>
          <w:sz w:val="20"/>
          <w:szCs w:val="20"/>
          <w:rtl w:val="0"/>
        </w:rPr>
        <w:t xml:space="preserve">p.2:</w:t>
      </w:r>
      <w:r w:rsidDel="00000000" w:rsidR="00000000" w:rsidRPr="00000000">
        <w:rPr>
          <w:sz w:val="20"/>
          <w:szCs w:val="20"/>
          <w:rtl w:val="0"/>
        </w:rPr>
        <w:t xml:space="preserve"> “Recent theory papers” — do you want to call a 2007 paper “recent”? Also, </w:t>
      </w:r>
      <w:r w:rsidDel="00000000" w:rsidR="00000000" w:rsidRPr="00000000">
        <w:rPr>
          <w:sz w:val="20"/>
          <w:szCs w:val="20"/>
          <w:shd w:fill="ff9900" w:val="clear"/>
          <w:rtl w:val="0"/>
        </w:rPr>
        <w:t xml:space="preserve">the mid-sentence reference to Horton (2010) is distracting</w:t>
      </w:r>
      <w:r w:rsidDel="00000000" w:rsidR="00000000" w:rsidRPr="00000000">
        <w:rPr>
          <w:sz w:val="20"/>
          <w:szCs w:val="20"/>
          <w:rtl w:val="0"/>
        </w:rPr>
        <w:t xml:space="preserve">; consider moving it. More broadly, I agree with Referee 2 that your connections to cited papers are often unclear.</w:t>
      </w:r>
    </w:p>
    <w:p w:rsidR="00000000" w:rsidDel="00000000" w:rsidP="00000000" w:rsidRDefault="00000000" w:rsidRPr="00000000" w14:paraId="0000001C">
      <w:pPr>
        <w:numPr>
          <w:ilvl w:val="1"/>
          <w:numId w:val="2"/>
        </w:numPr>
        <w:spacing w:after="0" w:afterAutospacing="0" w:before="0" w:beforeAutospacing="0" w:lineRule="auto"/>
        <w:ind w:left="1440" w:hanging="360"/>
        <w:rPr>
          <w:sz w:val="20"/>
          <w:szCs w:val="20"/>
        </w:rPr>
      </w:pPr>
      <w:r w:rsidDel="00000000" w:rsidR="00000000" w:rsidRPr="00000000">
        <w:rPr>
          <w:b w:val="1"/>
          <w:bCs w:val="1"/>
          <w:sz w:val="20"/>
          <w:szCs w:val="20"/>
          <w:rtl w:val="0"/>
        </w:rPr>
        <w:t xml:space="preserve">p.3:</w:t>
      </w:r>
      <w:r w:rsidDel="00000000" w:rsidR="00000000" w:rsidRPr="00000000">
        <w:rPr>
          <w:sz w:val="20"/>
          <w:szCs w:val="20"/>
          <w:rtl w:val="0"/>
        </w:rPr>
        <w:t xml:space="preserve"> The phrase “persists from partial to full market roll-out” is unclear.</w:t>
      </w:r>
    </w:p>
    <w:p w:rsidR="00000000" w:rsidDel="00000000" w:rsidP="00000000" w:rsidRDefault="00000000" w:rsidRPr="00000000" w14:paraId="0000001D">
      <w:pPr>
        <w:numPr>
          <w:ilvl w:val="1"/>
          <w:numId w:val="2"/>
        </w:numPr>
        <w:spacing w:after="0" w:afterAutospacing="0" w:before="0" w:beforeAutospacing="0" w:lineRule="auto"/>
        <w:ind w:left="1440" w:hanging="360"/>
        <w:rPr>
          <w:sz w:val="20"/>
          <w:szCs w:val="20"/>
        </w:rPr>
      </w:pPr>
      <w:r w:rsidDel="00000000" w:rsidR="00000000" w:rsidRPr="00000000">
        <w:rPr>
          <w:b w:val="1"/>
          <w:bCs w:val="1"/>
          <w:sz w:val="20"/>
          <w:szCs w:val="20"/>
          <w:rtl w:val="0"/>
        </w:rPr>
        <w:t xml:space="preserve">p.8:</w:t>
      </w:r>
      <w:r w:rsidDel="00000000" w:rsidR="00000000" w:rsidRPr="00000000">
        <w:rPr>
          <w:sz w:val="20"/>
          <w:szCs w:val="20"/>
          <w:rtl w:val="0"/>
        </w:rPr>
        <w:t xml:space="preserve"> Second line of Section III: omit the repeated “salient.” Point (2) could be dropped—it is standard. The first part of point (3) could also be cut unless you wish to emphasize that wage demands are worker commitments; in that case, rephrase.</w:t>
      </w:r>
    </w:p>
    <w:p w:rsidR="00000000" w:rsidDel="00000000" w:rsidP="00000000" w:rsidRDefault="00000000" w:rsidRPr="00000000" w14:paraId="0000001E">
      <w:pPr>
        <w:numPr>
          <w:ilvl w:val="1"/>
          <w:numId w:val="2"/>
        </w:numPr>
        <w:spacing w:after="0" w:afterAutospacing="0" w:before="0" w:beforeAutospacing="0" w:lineRule="auto"/>
        <w:ind w:left="1440" w:hanging="360"/>
        <w:rPr>
          <w:sz w:val="20"/>
          <w:szCs w:val="20"/>
        </w:rPr>
      </w:pPr>
      <w:r w:rsidDel="00000000" w:rsidR="00000000" w:rsidRPr="00000000">
        <w:rPr>
          <w:b w:val="1"/>
          <w:bCs w:val="1"/>
          <w:sz w:val="20"/>
          <w:szCs w:val="20"/>
          <w:rtl w:val="0"/>
        </w:rPr>
        <w:t xml:space="preserve">p.9:</w:t>
      </w:r>
      <w:r w:rsidDel="00000000" w:rsidR="00000000" w:rsidRPr="00000000">
        <w:rPr>
          <w:sz w:val="20"/>
          <w:szCs w:val="20"/>
          <w:rtl w:val="0"/>
        </w:rPr>
        <w:t xml:space="preserve"> Clarify that a is a real (presumably nonnegative) number. Define subscript T on v_T when first introduced—it indexes job type. (Minor: consider lowercase t instead of uppercase T.) Using \delta for probability is nonstandard; consider p. When you write “in principle firms could have…,” are you stating the model allows it or only conceptually?</w:t>
      </w:r>
    </w:p>
    <w:p w:rsidR="00000000" w:rsidDel="00000000" w:rsidP="00000000" w:rsidRDefault="00000000" w:rsidRPr="00000000" w14:paraId="0000001F">
      <w:pPr>
        <w:numPr>
          <w:ilvl w:val="1"/>
          <w:numId w:val="2"/>
        </w:numPr>
        <w:spacing w:after="0" w:afterAutospacing="0" w:before="0" w:beforeAutospacing="0" w:lineRule="auto"/>
        <w:ind w:left="1440" w:hanging="360"/>
        <w:rPr>
          <w:sz w:val="20"/>
          <w:szCs w:val="20"/>
        </w:rPr>
      </w:pPr>
      <w:r w:rsidDel="00000000" w:rsidR="00000000" w:rsidRPr="00000000">
        <w:rPr>
          <w:b w:val="1"/>
          <w:bCs w:val="1"/>
          <w:sz w:val="20"/>
          <w:szCs w:val="20"/>
          <w:rtl w:val="0"/>
        </w:rPr>
        <w:t xml:space="preserve">p.10:</w:t>
      </w:r>
      <w:r w:rsidDel="00000000" w:rsidR="00000000" w:rsidRPr="00000000">
        <w:rPr>
          <w:sz w:val="20"/>
          <w:szCs w:val="20"/>
          <w:rtl w:val="0"/>
        </w:rPr>
        <w:t xml:space="preserve"> Workers care only about wages—so more difficult jobs don’t imply higher disutility?</w:t>
      </w:r>
    </w:p>
    <w:p w:rsidR="00000000" w:rsidDel="00000000" w:rsidP="00000000" w:rsidRDefault="00000000" w:rsidRPr="00000000" w14:paraId="00000020">
      <w:pPr>
        <w:numPr>
          <w:ilvl w:val="1"/>
          <w:numId w:val="2"/>
        </w:numPr>
        <w:spacing w:after="0" w:afterAutospacing="0" w:before="0" w:beforeAutospacing="0" w:lineRule="auto"/>
        <w:ind w:left="1440" w:hanging="360"/>
        <w:rPr>
          <w:sz w:val="20"/>
          <w:szCs w:val="20"/>
        </w:rPr>
      </w:pPr>
      <w:r w:rsidDel="00000000" w:rsidR="00000000" w:rsidRPr="00000000">
        <w:rPr>
          <w:b w:val="1"/>
          <w:bCs w:val="1"/>
          <w:sz w:val="20"/>
          <w:szCs w:val="20"/>
          <w:rtl w:val="0"/>
        </w:rPr>
        <w:t xml:space="preserve">p.11:</w:t>
      </w:r>
      <w:r w:rsidDel="00000000" w:rsidR="00000000" w:rsidRPr="00000000">
        <w:rPr>
          <w:sz w:val="20"/>
          <w:szCs w:val="20"/>
          <w:rtl w:val="0"/>
        </w:rPr>
        <w:t xml:space="preserve"> Clarify “large market.” Do you need all the citations in footnote 8, or would a summary suffice? Also, “can reject” might simply be “rejects.”</w:t>
      </w:r>
    </w:p>
    <w:p w:rsidR="00000000" w:rsidDel="00000000" w:rsidP="00000000" w:rsidRDefault="00000000" w:rsidRPr="00000000" w14:paraId="00000021">
      <w:pPr>
        <w:numPr>
          <w:ilvl w:val="1"/>
          <w:numId w:val="2"/>
        </w:numPr>
        <w:spacing w:after="0" w:afterAutospacing="0" w:before="0" w:beforeAutospacing="0" w:lineRule="auto"/>
        <w:ind w:left="1440" w:hanging="360"/>
        <w:rPr>
          <w:sz w:val="20"/>
          <w:szCs w:val="20"/>
        </w:rPr>
      </w:pPr>
      <w:r w:rsidDel="00000000" w:rsidR="00000000" w:rsidRPr="00000000">
        <w:rPr>
          <w:b w:val="1"/>
          <w:bCs w:val="1"/>
          <w:sz w:val="20"/>
          <w:szCs w:val="20"/>
          <w:rtl w:val="0"/>
        </w:rPr>
        <w:t xml:space="preserve">p.12:</w:t>
      </w:r>
      <w:r w:rsidDel="00000000" w:rsidR="00000000" w:rsidRPr="00000000">
        <w:rPr>
          <w:rFonts w:ascii="Arial Unicode MS" w:cs="Arial Unicode MS" w:eastAsia="Arial Unicode MS" w:hAnsi="Arial Unicode MS"/>
          <w:sz w:val="20"/>
          <w:szCs w:val="20"/>
          <w:rtl w:val="0"/>
        </w:rPr>
        <w:t xml:space="preserve"> “Message off-equilibrium” → “message off the equilibrium path.” Footnote 11 lacks a right bracket. Be consistent in your use of “:=” for definitions.</w:t>
      </w:r>
    </w:p>
    <w:p w:rsidR="00000000" w:rsidDel="00000000" w:rsidP="00000000" w:rsidRDefault="00000000" w:rsidRPr="00000000" w14:paraId="00000022">
      <w:pPr>
        <w:numPr>
          <w:ilvl w:val="1"/>
          <w:numId w:val="2"/>
        </w:numPr>
        <w:spacing w:after="0" w:afterAutospacing="0" w:before="0" w:beforeAutospacing="0" w:lineRule="auto"/>
        <w:ind w:left="1440" w:hanging="360"/>
        <w:rPr>
          <w:sz w:val="20"/>
          <w:szCs w:val="20"/>
        </w:rPr>
      </w:pPr>
      <w:r w:rsidDel="00000000" w:rsidR="00000000" w:rsidRPr="00000000">
        <w:rPr>
          <w:b w:val="1"/>
          <w:bCs w:val="1"/>
          <w:sz w:val="20"/>
          <w:szCs w:val="20"/>
          <w:rtl w:val="0"/>
        </w:rPr>
        <w:t xml:space="preserve">p.13:</w:t>
      </w:r>
      <w:r w:rsidDel="00000000" w:rsidR="00000000" w:rsidRPr="00000000">
        <w:rPr>
          <w:sz w:val="20"/>
          <w:szCs w:val="20"/>
          <w:rtl w:val="0"/>
        </w:rPr>
        <w:t xml:space="preserve"> What does “meaningful mass points” mean? The first sentence of Proposition 1 repeats what was just stated.</w:t>
      </w:r>
    </w:p>
    <w:p w:rsidR="00000000" w:rsidDel="00000000" w:rsidP="00000000" w:rsidRDefault="00000000" w:rsidRPr="00000000" w14:paraId="00000023">
      <w:pPr>
        <w:numPr>
          <w:ilvl w:val="1"/>
          <w:numId w:val="2"/>
        </w:numPr>
        <w:spacing w:after="0" w:afterAutospacing="0" w:before="0" w:beforeAutospacing="0" w:lineRule="auto"/>
        <w:ind w:left="1440" w:hanging="360"/>
        <w:rPr>
          <w:sz w:val="20"/>
          <w:szCs w:val="20"/>
        </w:rPr>
      </w:pPr>
      <w:r w:rsidDel="00000000" w:rsidR="00000000" w:rsidRPr="00000000">
        <w:rPr>
          <w:b w:val="1"/>
          <w:bCs w:val="1"/>
          <w:sz w:val="20"/>
          <w:szCs w:val="20"/>
          <w:rtl w:val="0"/>
        </w:rPr>
        <w:t xml:space="preserve">p.15:</w:t>
      </w:r>
      <w:r w:rsidDel="00000000" w:rsidR="00000000" w:rsidRPr="00000000">
        <w:rPr>
          <w:sz w:val="20"/>
          <w:szCs w:val="20"/>
          <w:rtl w:val="0"/>
        </w:rPr>
        <w:t xml:space="preserve"> When you write “generically fails,” do you mean in a formal genericity sense?</w:t>
      </w:r>
    </w:p>
    <w:p w:rsidR="00000000" w:rsidDel="00000000" w:rsidP="00000000" w:rsidRDefault="00000000" w:rsidRPr="00000000" w14:paraId="00000024">
      <w:pPr>
        <w:numPr>
          <w:ilvl w:val="1"/>
          <w:numId w:val="2"/>
        </w:numPr>
        <w:spacing w:after="240" w:before="0" w:beforeAutospacing="0" w:lineRule="auto"/>
        <w:ind w:left="1440" w:hanging="360"/>
        <w:rPr>
          <w:sz w:val="20"/>
          <w:szCs w:val="20"/>
        </w:rPr>
      </w:pPr>
      <w:r w:rsidDel="00000000" w:rsidR="00000000" w:rsidRPr="00000000">
        <w:rPr>
          <w:b w:val="1"/>
          <w:bCs w:val="1"/>
          <w:sz w:val="20"/>
          <w:szCs w:val="20"/>
          <w:rtl w:val="0"/>
        </w:rPr>
        <w:t xml:space="preserve">Footnote 13:</w:t>
      </w:r>
      <w:r w:rsidDel="00000000" w:rsidR="00000000" w:rsidRPr="00000000">
        <w:rPr>
          <w:sz w:val="20"/>
          <w:szCs w:val="20"/>
          <w:rtl w:val="0"/>
        </w:rPr>
        <w:t xml:space="preserve"> Using “L” and “H” but then “Medium” looks odd. Perhaps use “I” for intermediate.</w:t>
      </w:r>
    </w:p>
    <w:p w:rsidR="00000000" w:rsidDel="00000000" w:rsidP="00000000" w:rsidRDefault="00000000" w:rsidRPr="00000000" w14:paraId="00000025">
      <w:pPr>
        <w:spacing w:after="240" w:before="240" w:lineRule="auto"/>
        <w:rPr>
          <w:sz w:val="20"/>
          <w:szCs w:val="20"/>
        </w:rPr>
      </w:pPr>
      <w:r w:rsidDel="00000000" w:rsidR="00000000" w:rsidRPr="00000000">
        <w:rPr>
          <w:sz w:val="20"/>
          <w:szCs w:val="20"/>
          <w:rtl w:val="0"/>
        </w:rPr>
        <w:t xml:space="preserve">While I cannot commit to publication, I am </w:t>
      </w:r>
      <w:r w:rsidDel="00000000" w:rsidR="00000000" w:rsidRPr="00000000">
        <w:rPr>
          <w:b w:val="1"/>
          <w:bCs w:val="1"/>
          <w:sz w:val="20"/>
          <w:szCs w:val="20"/>
          <w:rtl w:val="0"/>
        </w:rPr>
        <w:t xml:space="preserve">cautiously optimistic</w:t>
      </w:r>
      <w:r w:rsidDel="00000000" w:rsidR="00000000" w:rsidRPr="00000000">
        <w:rPr>
          <w:sz w:val="20"/>
          <w:szCs w:val="20"/>
          <w:rtl w:val="0"/>
        </w:rPr>
        <w:t xml:space="preserve"> that a thorough revision will pay off. When resubmitting, please include a single PDF containing:</w:t>
      </w:r>
    </w:p>
    <w:p w:rsidR="00000000" w:rsidDel="00000000" w:rsidP="00000000" w:rsidRDefault="00000000" w:rsidRPr="00000000" w14:paraId="00000026">
      <w:pPr>
        <w:numPr>
          <w:ilvl w:val="0"/>
          <w:numId w:val="5"/>
        </w:numPr>
        <w:spacing w:after="0" w:afterAutospacing="0" w:before="240" w:lineRule="auto"/>
        <w:ind w:left="720" w:hanging="360"/>
        <w:rPr>
          <w:sz w:val="20"/>
          <w:szCs w:val="20"/>
        </w:rPr>
      </w:pPr>
      <w:r w:rsidDel="00000000" w:rsidR="00000000" w:rsidRPr="00000000">
        <w:rPr>
          <w:sz w:val="20"/>
          <w:szCs w:val="20"/>
          <w:rtl w:val="0"/>
        </w:rPr>
        <w:t xml:space="preserve">detailed responses to each referee and to me,</w:t>
      </w:r>
    </w:p>
    <w:p w:rsidR="00000000" w:rsidDel="00000000" w:rsidP="00000000" w:rsidRDefault="00000000" w:rsidRPr="00000000" w14:paraId="00000027">
      <w:pPr>
        <w:numPr>
          <w:ilvl w:val="0"/>
          <w:numId w:val="5"/>
        </w:numPr>
        <w:spacing w:after="240" w:before="0" w:beforeAutospacing="0" w:lineRule="auto"/>
        <w:ind w:left="720" w:hanging="360"/>
        <w:rPr>
          <w:sz w:val="20"/>
          <w:szCs w:val="20"/>
        </w:rPr>
      </w:pPr>
      <w:r w:rsidDel="00000000" w:rsidR="00000000" w:rsidRPr="00000000">
        <w:rPr>
          <w:sz w:val="20"/>
          <w:szCs w:val="20"/>
          <w:rtl w:val="0"/>
        </w:rPr>
        <w:t xml:space="preserve">an outline of all changes made to the paper.</w:t>
      </w:r>
    </w:p>
    <w:p w:rsidR="00000000" w:rsidDel="00000000" w:rsidP="00000000" w:rsidRDefault="00000000" w:rsidRPr="00000000" w14:paraId="00000028">
      <w:pPr>
        <w:spacing w:after="240" w:before="240" w:lineRule="auto"/>
        <w:rPr>
          <w:sz w:val="20"/>
          <w:szCs w:val="20"/>
        </w:rPr>
      </w:pPr>
      <w:r w:rsidDel="00000000" w:rsidR="00000000" w:rsidRPr="00000000">
        <w:rPr>
          <w:sz w:val="20"/>
          <w:szCs w:val="20"/>
          <w:rtl w:val="0"/>
        </w:rPr>
        <w:t xml:space="preserve">AEJ Micro allows </w:t>
      </w:r>
      <w:r w:rsidDel="00000000" w:rsidR="00000000" w:rsidRPr="00000000">
        <w:rPr>
          <w:b w:val="1"/>
          <w:bCs w:val="1"/>
          <w:sz w:val="20"/>
          <w:szCs w:val="20"/>
          <w:rtl w:val="0"/>
        </w:rPr>
        <w:t xml:space="preserve">12 months</w:t>
      </w:r>
      <w:r w:rsidDel="00000000" w:rsidR="00000000" w:rsidRPr="00000000">
        <w:rPr>
          <w:sz w:val="20"/>
          <w:szCs w:val="20"/>
          <w:rtl w:val="0"/>
        </w:rPr>
        <w:t xml:space="preserve"> for resubmission, though since this is mostly an expositional revision, I hope you can return it within about four months.</w:t>
      </w:r>
    </w:p>
    <w:p w:rsidR="00000000" w:rsidDel="00000000" w:rsidP="00000000" w:rsidRDefault="00000000" w:rsidRPr="00000000" w14:paraId="00000029">
      <w:pPr>
        <w:spacing w:after="240" w:before="240" w:lineRule="auto"/>
        <w:rPr>
          <w:sz w:val="20"/>
          <w:szCs w:val="20"/>
        </w:rPr>
      </w:pPr>
      <w:r w:rsidDel="00000000" w:rsidR="00000000" w:rsidRPr="00000000">
        <w:rPr>
          <w:sz w:val="20"/>
          <w:szCs w:val="20"/>
          <w:rtl w:val="0"/>
        </w:rPr>
        <w:t xml:space="preserve">If anything in this letter requires clarification, feel free to reach out. Thank you again for submitting this interesting paper to AEJ Micro. I look forward to seeing your revision.</w:t>
      </w:r>
    </w:p>
    <w:p w:rsidR="00000000" w:rsidDel="00000000" w:rsidP="00000000" w:rsidRDefault="00000000" w:rsidRPr="00000000" w14:paraId="0000002A">
      <w:pPr>
        <w:spacing w:after="240" w:before="240" w:lineRule="auto"/>
        <w:rPr>
          <w:b w:val="1"/>
          <w:bCs w:val="1"/>
          <w:sz w:val="20"/>
          <w:szCs w:val="20"/>
        </w:rPr>
      </w:pPr>
      <w:r w:rsidDel="00000000" w:rsidR="00000000" w:rsidRPr="00000000">
        <w:rPr>
          <w:b w:val="1"/>
          <w:bCs w:val="1"/>
          <w:sz w:val="20"/>
          <w:szCs w:val="20"/>
          <w:rtl w:val="0"/>
        </w:rPr>
        <w:t xml:space="preserve">Sincerely,</w:t>
      </w:r>
    </w:p>
    <w:p w:rsidR="00000000" w:rsidDel="00000000" w:rsidP="00000000" w:rsidRDefault="00000000" w:rsidRPr="00000000" w14:paraId="0000002B">
      <w:pPr>
        <w:spacing w:after="240" w:before="240" w:lineRule="auto"/>
        <w:rPr>
          <w:sz w:val="20"/>
          <w:szCs w:val="20"/>
        </w:rPr>
      </w:pPr>
      <w:r w:rsidDel="00000000" w:rsidR="00000000" w:rsidRPr="00000000">
        <w:rPr>
          <w:sz w:val="20"/>
          <w:szCs w:val="20"/>
          <w:rtl w:val="0"/>
        </w:rPr>
        <w:t xml:space="preserve">Navin Kartik</w:t>
      </w:r>
    </w:p>
    <w:p w:rsidR="00000000" w:rsidDel="00000000" w:rsidP="00000000" w:rsidRDefault="00000000" w:rsidRPr="00000000" w14:paraId="0000002C">
      <w:pPr>
        <w:spacing w:after="240" w:before="240" w:lineRule="auto"/>
        <w:rPr>
          <w:i w:val="1"/>
          <w:iCs w:val="1"/>
          <w:sz w:val="20"/>
          <w:szCs w:val="20"/>
        </w:rPr>
      </w:pPr>
      <w:r w:rsidDel="00000000" w:rsidR="00000000" w:rsidRPr="00000000">
        <w:rPr>
          <w:sz w:val="20"/>
          <w:szCs w:val="20"/>
          <w:rtl w:val="0"/>
        </w:rPr>
        <w:t xml:space="preserve">Editor, </w:t>
      </w:r>
      <w:r w:rsidDel="00000000" w:rsidR="00000000" w:rsidRPr="00000000">
        <w:rPr>
          <w:i w:val="1"/>
          <w:iCs w:val="1"/>
          <w:sz w:val="20"/>
          <w:szCs w:val="20"/>
          <w:rtl w:val="0"/>
        </w:rPr>
        <w:t xml:space="preserve">American Economic Journal: Microeconomics</w:t>
      </w:r>
    </w:p>
    <w:p w:rsidR="00000000" w:rsidDel="00000000" w:rsidP="00000000" w:rsidRDefault="00000000" w:rsidRPr="00000000" w14:paraId="0000002D">
      <w:pPr>
        <w:spacing w:after="240" w:before="240" w:lineRule="auto"/>
        <w:rPr>
          <w:b w:val="1"/>
          <w:bCs w:val="1"/>
          <w:sz w:val="20"/>
          <w:szCs w:val="20"/>
        </w:rPr>
      </w:pPr>
      <w:r w:rsidDel="00000000" w:rsidR="00000000" w:rsidRPr="00000000">
        <w:rPr>
          <w:b w:val="1"/>
          <w:bCs w:val="1"/>
          <w:sz w:val="20"/>
          <w:szCs w:val="20"/>
          <w:rtl w:val="0"/>
        </w:rPr>
        <w:t xml:space="preserve">Resubmission Instructions</w:t>
      </w:r>
    </w:p>
    <w:p w:rsidR="00000000" w:rsidDel="00000000" w:rsidP="00000000" w:rsidRDefault="00000000" w:rsidRPr="00000000" w14:paraId="0000002E">
      <w:pPr>
        <w:spacing w:after="240" w:before="240" w:lineRule="auto"/>
        <w:rPr>
          <w:b w:val="1"/>
          <w:bCs w:val="1"/>
          <w:sz w:val="20"/>
          <w:szCs w:val="20"/>
        </w:rPr>
      </w:pPr>
      <w:r w:rsidDel="00000000" w:rsidR="00000000" w:rsidRPr="00000000">
        <w:rPr>
          <w:sz w:val="20"/>
          <w:szCs w:val="20"/>
          <w:rtl w:val="0"/>
        </w:rPr>
        <w:t xml:space="preserve">Log into </w:t>
      </w:r>
      <w:hyperlink r:id="rId6">
        <w:r w:rsidDel="00000000" w:rsidR="00000000" w:rsidRPr="00000000">
          <w:rPr>
            <w:color w:val="1155cc"/>
            <w:sz w:val="20"/>
            <w:szCs w:val="20"/>
            <w:u w:val="single"/>
            <w:rtl w:val="0"/>
          </w:rPr>
          <w:t xml:space="preserve">http://mc.manuscriptcentral.com/aej-micro</w:t>
        </w:r>
      </w:hyperlink>
      <w:r w:rsidDel="00000000" w:rsidR="00000000" w:rsidRPr="00000000">
        <w:rPr>
          <w:sz w:val="20"/>
          <w:szCs w:val="20"/>
          <w:rtl w:val="0"/>
        </w:rPr>
        <w:t xml:space="preserve"> and enter your Author Center. Under “Manuscripts with Decisions,” click </w:t>
      </w:r>
      <w:r w:rsidDel="00000000" w:rsidR="00000000" w:rsidRPr="00000000">
        <w:rPr>
          <w:b w:val="1"/>
          <w:bCs w:val="1"/>
          <w:sz w:val="20"/>
          <w:szCs w:val="20"/>
          <w:rtl w:val="0"/>
        </w:rPr>
        <w:t xml:space="preserve">“Create a Revision.”</w:t>
      </w:r>
    </w:p>
    <w:p w:rsidR="00000000" w:rsidDel="00000000" w:rsidP="00000000" w:rsidRDefault="00000000" w:rsidRPr="00000000" w14:paraId="0000002F">
      <w:pPr>
        <w:spacing w:after="240" w:before="240" w:lineRule="auto"/>
        <w:rPr>
          <w:sz w:val="20"/>
          <w:szCs w:val="20"/>
        </w:rPr>
      </w:pPr>
      <w:r w:rsidDel="00000000" w:rsidR="00000000" w:rsidRPr="00000000">
        <w:rPr>
          <w:sz w:val="20"/>
          <w:szCs w:val="20"/>
          <w:rtl w:val="0"/>
        </w:rPr>
        <w:t xml:space="preserve">You cannot revise the original submission directly; instead, prepare a new PDF for upload.</w:t>
      </w:r>
    </w:p>
    <w:p w:rsidR="00000000" w:rsidDel="00000000" w:rsidP="00000000" w:rsidRDefault="00000000" w:rsidRPr="00000000" w14:paraId="00000030">
      <w:pPr>
        <w:spacing w:after="240" w:before="240" w:lineRule="auto"/>
        <w:rPr>
          <w:sz w:val="20"/>
          <w:szCs w:val="20"/>
        </w:rPr>
      </w:pPr>
      <w:r w:rsidDel="00000000" w:rsidR="00000000" w:rsidRPr="00000000">
        <w:rPr>
          <w:sz w:val="20"/>
          <w:szCs w:val="20"/>
          <w:rtl w:val="0"/>
        </w:rPr>
        <w:t xml:space="preserve">All submissions must include a </w:t>
      </w:r>
      <w:r w:rsidDel="00000000" w:rsidR="00000000" w:rsidRPr="00000000">
        <w:rPr>
          <w:b w:val="1"/>
          <w:bCs w:val="1"/>
          <w:sz w:val="20"/>
          <w:szCs w:val="20"/>
          <w:rtl w:val="0"/>
        </w:rPr>
        <w:t xml:space="preserve">Disclosure Statement</w:t>
      </w:r>
      <w:r w:rsidDel="00000000" w:rsidR="00000000" w:rsidRPr="00000000">
        <w:rPr>
          <w:sz w:val="20"/>
          <w:szCs w:val="20"/>
          <w:rtl w:val="0"/>
        </w:rPr>
        <w:t xml:space="preserve"> (see </w:t>
      </w:r>
      <w:hyperlink r:id="rId7">
        <w:r w:rsidDel="00000000" w:rsidR="00000000" w:rsidRPr="00000000">
          <w:rPr>
            <w:color w:val="1155cc"/>
            <w:sz w:val="20"/>
            <w:szCs w:val="20"/>
            <w:u w:val="single"/>
            <w:rtl w:val="0"/>
          </w:rPr>
          <w:t xml:space="preserve">AEA Disclosure Policy</w:t>
        </w:r>
      </w:hyperlink>
      <w:r w:rsidDel="00000000" w:rsidR="00000000" w:rsidRPr="00000000">
        <w:rPr>
          <w:sz w:val="20"/>
          <w:szCs w:val="20"/>
          <w:rtl w:val="0"/>
        </w:rPr>
        <w:t xml:space="preserve">), one per coauthor. State whether IRB approval was obtained.</w:t>
      </w:r>
    </w:p>
    <w:p w:rsidR="00000000" w:rsidDel="00000000" w:rsidP="00000000" w:rsidRDefault="00000000" w:rsidRPr="00000000" w14:paraId="00000031">
      <w:pPr>
        <w:spacing w:after="240" w:before="240" w:lineRule="auto"/>
        <w:rPr>
          <w:sz w:val="20"/>
          <w:szCs w:val="20"/>
        </w:rPr>
      </w:pPr>
      <w:r w:rsidDel="00000000" w:rsidR="00000000" w:rsidRPr="00000000">
        <w:rPr>
          <w:sz w:val="20"/>
          <w:szCs w:val="20"/>
          <w:rtl w:val="0"/>
        </w:rPr>
        <w:t xml:space="preserve">AEJ Micro policy requires that authors provide all </w:t>
      </w:r>
      <w:r w:rsidDel="00000000" w:rsidR="00000000" w:rsidRPr="00000000">
        <w:rPr>
          <w:b w:val="1"/>
          <w:bCs w:val="1"/>
          <w:sz w:val="20"/>
          <w:szCs w:val="20"/>
          <w:rtl w:val="0"/>
        </w:rPr>
        <w:t xml:space="preserve">data, code, and documentation</w:t>
      </w:r>
      <w:r w:rsidDel="00000000" w:rsidR="00000000" w:rsidRPr="00000000">
        <w:rPr>
          <w:sz w:val="20"/>
          <w:szCs w:val="20"/>
          <w:rtl w:val="0"/>
        </w:rPr>
        <w:t xml:space="preserve"> necessary for replication prior to publication.</w:t>
      </w:r>
    </w:p>
    <w:p w:rsidR="00000000" w:rsidDel="00000000" w:rsidP="00000000" w:rsidRDefault="00000000" w:rsidRPr="00000000" w14:paraId="00000032">
      <w:pPr>
        <w:spacing w:after="240" w:before="240" w:lineRule="auto"/>
        <w:rPr/>
      </w:pPr>
      <w:r w:rsidDel="00000000" w:rsidR="00000000" w:rsidRPr="00000000">
        <w:rPr>
          <w:sz w:val="20"/>
          <w:szCs w:val="20"/>
          <w:rtl w:val="0"/>
        </w:rPr>
        <w:t xml:space="preserve">Please delete redundant files before completing your resubmission. Revised manuscripts not submitted within a year may be treated as new submissions.</w:t>
      </w:r>
      <w:r w:rsidDel="00000000" w:rsidR="00000000" w:rsidRPr="00000000">
        <w:rPr>
          <w:rtl w:val="0"/>
        </w:rPr>
      </w:r>
    </w:p>
    <w:p w:rsidR="00000000" w:rsidDel="00000000" w:rsidP="00000000" w:rsidRDefault="00000000" w:rsidRPr="00000000" w14:paraId="00000033">
      <w:pPr>
        <w:spacing w:after="240" w:before="240" w:lineRule="auto"/>
        <w:rPr/>
      </w:pPr>
      <w:r w:rsidDel="00000000" w:rsidR="00000000" w:rsidRPr="00000000">
        <w:br w:type="page"/>
      </w:r>
      <w:r w:rsidDel="00000000" w:rsidR="00000000" w:rsidRPr="00000000">
        <w:rPr>
          <w:rtl w:val="0"/>
        </w:rPr>
      </w:r>
    </w:p>
    <w:p w:rsidR="00000000" w:rsidDel="00000000" w:rsidP="00000000" w:rsidRDefault="00000000" w:rsidRPr="00000000" w14:paraId="00000034">
      <w:pPr>
        <w:spacing w:after="240" w:before="240" w:lineRule="auto"/>
        <w:rPr>
          <w:sz w:val="38"/>
          <w:szCs w:val="38"/>
        </w:rPr>
      </w:pPr>
      <w:r w:rsidDel="00000000" w:rsidR="00000000" w:rsidRPr="00000000">
        <w:rPr>
          <w:sz w:val="38"/>
          <w:szCs w:val="38"/>
          <w:rtl w:val="0"/>
        </w:rPr>
        <w:t xml:space="preserve">R1 Report</w:t>
      </w:r>
    </w:p>
    <w:p w:rsidR="00000000" w:rsidDel="00000000" w:rsidP="00000000" w:rsidRDefault="00000000" w:rsidRPr="00000000" w14:paraId="00000035">
      <w:pPr>
        <w:spacing w:after="240" w:before="240" w:lineRule="auto"/>
        <w:rPr>
          <w:sz w:val="20"/>
          <w:szCs w:val="20"/>
        </w:rPr>
      </w:pPr>
      <w:r w:rsidDel="00000000" w:rsidR="00000000" w:rsidRPr="00000000">
        <w:rPr>
          <w:sz w:val="20"/>
          <w:szCs w:val="20"/>
          <w:rtl w:val="0"/>
        </w:rPr>
        <w:t xml:space="preserve">This paper offers a theoretical model and field experiment in an online labor market, analyzing the sorting benefits of allowing job posters the ability to signal to workers their preference over hiring high-skilled workers at higher prices or low-skilled workers at lower prices (or an intermediate option).</w:t>
      </w:r>
    </w:p>
    <w:p w:rsidR="00000000" w:rsidDel="00000000" w:rsidP="00000000" w:rsidRDefault="00000000" w:rsidRPr="00000000" w14:paraId="00000036">
      <w:pPr>
        <w:spacing w:after="240" w:before="240" w:lineRule="auto"/>
        <w:rPr>
          <w:sz w:val="20"/>
          <w:szCs w:val="20"/>
        </w:rPr>
      </w:pPr>
      <w:r w:rsidDel="00000000" w:rsidR="00000000" w:rsidRPr="00000000">
        <w:rPr>
          <w:sz w:val="20"/>
          <w:szCs w:val="20"/>
          <w:rtl w:val="0"/>
        </w:rPr>
        <w:t xml:space="preserve">In one arm of the experiment, job posters told the platform about these preferences but the preferences were not revealed to potential workers. In another arm, the preferences were revealed. In a final arm, the preferences were revealed with some probability.</w:t>
      </w:r>
    </w:p>
    <w:p w:rsidR="00000000" w:rsidDel="00000000" w:rsidP="00000000" w:rsidRDefault="00000000" w:rsidRPr="00000000" w14:paraId="00000037">
      <w:pPr>
        <w:spacing w:after="240" w:before="240" w:lineRule="auto"/>
        <w:rPr>
          <w:sz w:val="20"/>
          <w:szCs w:val="20"/>
        </w:rPr>
      </w:pPr>
      <w:r w:rsidDel="00000000" w:rsidR="00000000" w:rsidRPr="00000000">
        <w:rPr>
          <w:sz w:val="20"/>
          <w:szCs w:val="20"/>
          <w:rtl w:val="0"/>
        </w:rPr>
        <w:t xml:space="preserve">The signal/preference statement constitutes cheap talk (they are costless, non-binding, and unverifiable), and the authors show in their theoretical model that it is possible for the signals to be useless in sorting workers and jobs (a babbling equilibrium). However, the authors demonstrate that, in cases where the value placed on quality by high-value job posters is sufficiently higher than that of low-value job posters, an informative, separating equilibrium exists that allows high-skilled and low-skilled workers to efficiently sort.</w:t>
      </w:r>
    </w:p>
    <w:p w:rsidR="00000000" w:rsidDel="00000000" w:rsidP="00000000" w:rsidRDefault="00000000" w:rsidRPr="00000000" w14:paraId="00000038">
      <w:pPr>
        <w:spacing w:after="240" w:before="240" w:lineRule="auto"/>
        <w:rPr>
          <w:sz w:val="20"/>
          <w:szCs w:val="20"/>
        </w:rPr>
      </w:pPr>
      <w:r w:rsidDel="00000000" w:rsidR="00000000" w:rsidRPr="00000000">
        <w:rPr>
          <w:sz w:val="20"/>
          <w:szCs w:val="20"/>
          <w:rtl w:val="0"/>
        </w:rPr>
        <w:t xml:space="preserve">In their field experiment, the authors find evidence consistent with this separating equilibrium, with the signaling tool leading to more efficient sorting.</w:t>
      </w:r>
    </w:p>
    <w:p w:rsidR="00000000" w:rsidDel="00000000" w:rsidP="00000000" w:rsidRDefault="00000000" w:rsidRPr="00000000" w14:paraId="00000039">
      <w:pPr>
        <w:spacing w:after="240" w:before="240" w:lineRule="auto"/>
        <w:rPr>
          <w:sz w:val="20"/>
          <w:szCs w:val="20"/>
        </w:rPr>
      </w:pPr>
      <w:r w:rsidDel="00000000" w:rsidR="00000000" w:rsidRPr="00000000">
        <w:rPr>
          <w:sz w:val="20"/>
          <w:szCs w:val="20"/>
          <w:rtl w:val="0"/>
        </w:rPr>
        <w:t xml:space="preserve">The paper is very well written: it makes a strong case for the motivation and contribution of the project, states the theoretical model and interpretation clearly, and presents compelling results from a well-designed experiment. I appreciated the results of Proposition 1, but also how the authors included Proposition 2 to show the conditions under which separation will succeed or fail. I also appreciated the detailed empirical analysis; the authors considered many different outcomes of interest to paint a clear picture of the effects of signaling on the platform. It is especially interesting that total hours worked and total wage payments increase, but with fewer job applications.</w:t>
      </w:r>
    </w:p>
    <w:p w:rsidR="00000000" w:rsidDel="00000000" w:rsidP="00000000" w:rsidRDefault="00000000" w:rsidRPr="00000000" w14:paraId="0000003A">
      <w:pPr>
        <w:spacing w:after="240" w:before="240" w:lineRule="auto"/>
        <w:rPr>
          <w:sz w:val="20"/>
          <w:szCs w:val="20"/>
        </w:rPr>
      </w:pPr>
      <w:r w:rsidDel="00000000" w:rsidR="00000000" w:rsidRPr="00000000">
        <w:rPr>
          <w:sz w:val="20"/>
          <w:szCs w:val="20"/>
          <w:rtl w:val="0"/>
        </w:rPr>
        <w:t xml:space="preserve">I read the paper thoroughly but was unable to find any major concerns. Some very minor points are below:</w:t>
      </w:r>
    </w:p>
    <w:p w:rsidR="00000000" w:rsidDel="00000000" w:rsidP="00000000" w:rsidRDefault="00000000" w:rsidRPr="00000000" w14:paraId="0000003B">
      <w:pPr>
        <w:numPr>
          <w:ilvl w:val="0"/>
          <w:numId w:val="1"/>
        </w:numPr>
        <w:spacing w:after="0" w:afterAutospacing="0" w:before="240" w:lineRule="auto"/>
        <w:ind w:left="720" w:hanging="360"/>
        <w:rPr>
          <w:sz w:val="20"/>
          <w:szCs w:val="20"/>
          <w:shd w:fill="ff9900" w:val="clear"/>
        </w:rPr>
      </w:pPr>
      <w:r w:rsidDel="00000000" w:rsidR="00000000" w:rsidRPr="00000000">
        <w:rPr>
          <w:sz w:val="20"/>
          <w:szCs w:val="20"/>
          <w:shd w:fill="ff9900" w:val="clear"/>
          <w:rtl w:val="0"/>
        </w:rPr>
        <w:t xml:space="preserve">At the top of p. 18, I wasn’t able to tell what “survey” you are referring to. Can you clarify?</w:t>
      </w:r>
    </w:p>
    <w:p w:rsidR="00000000" w:rsidDel="00000000" w:rsidP="00000000" w:rsidRDefault="00000000" w:rsidRPr="00000000" w14:paraId="0000003C">
      <w:pPr>
        <w:numPr>
          <w:ilvl w:val="0"/>
          <w:numId w:val="1"/>
        </w:numPr>
        <w:spacing w:after="0" w:afterAutospacing="0" w:before="0" w:beforeAutospacing="0" w:lineRule="auto"/>
        <w:ind w:left="720" w:hanging="360"/>
        <w:rPr>
          <w:sz w:val="20"/>
          <w:szCs w:val="20"/>
        </w:rPr>
      </w:pPr>
      <w:r w:rsidDel="00000000" w:rsidR="00000000" w:rsidRPr="00000000">
        <w:rPr>
          <w:sz w:val="20"/>
          <w:szCs w:val="20"/>
          <w:rtl w:val="0"/>
        </w:rPr>
        <w:t xml:space="preserve">Typos:</w:t>
      </w:r>
    </w:p>
    <w:p w:rsidR="00000000" w:rsidDel="00000000" w:rsidP="00000000" w:rsidRDefault="00000000" w:rsidRPr="00000000" w14:paraId="0000003D">
      <w:pPr>
        <w:numPr>
          <w:ilvl w:val="1"/>
          <w:numId w:val="1"/>
        </w:numPr>
        <w:spacing w:after="0" w:afterAutospacing="0" w:before="0" w:beforeAutospacing="0" w:lineRule="auto"/>
        <w:ind w:left="1440" w:hanging="360"/>
        <w:rPr>
          <w:sz w:val="20"/>
          <w:szCs w:val="20"/>
        </w:rPr>
      </w:pPr>
      <w:r w:rsidDel="00000000" w:rsidR="00000000" w:rsidRPr="00000000">
        <w:rPr>
          <w:sz w:val="20"/>
          <w:szCs w:val="20"/>
          <w:rtl w:val="0"/>
        </w:rPr>
        <w:t xml:space="preserve">“compared to comparable”</w:t>
      </w:r>
    </w:p>
    <w:p w:rsidR="00000000" w:rsidDel="00000000" w:rsidP="00000000" w:rsidRDefault="00000000" w:rsidRPr="00000000" w14:paraId="0000003E">
      <w:pPr>
        <w:numPr>
          <w:ilvl w:val="1"/>
          <w:numId w:val="1"/>
        </w:numPr>
        <w:spacing w:after="0" w:afterAutospacing="0" w:before="0" w:beforeAutospacing="0" w:lineRule="auto"/>
        <w:ind w:left="1440" w:hanging="360"/>
        <w:rPr>
          <w:sz w:val="20"/>
          <w:szCs w:val="20"/>
        </w:rPr>
      </w:pPr>
      <w:r w:rsidDel="00000000" w:rsidR="00000000" w:rsidRPr="00000000">
        <w:rPr>
          <w:rFonts w:ascii="Arial Unicode MS" w:cs="Arial Unicode MS" w:eastAsia="Arial Unicode MS" w:hAnsi="Arial Unicode MS"/>
          <w:sz w:val="20"/>
          <w:szCs w:val="20"/>
          <w:rtl w:val="0"/>
        </w:rPr>
        <w:t xml:space="preserve">“less job applications” → “fewer job applications”</w:t>
      </w:r>
    </w:p>
    <w:p w:rsidR="00000000" w:rsidDel="00000000" w:rsidP="00000000" w:rsidRDefault="00000000" w:rsidRPr="00000000" w14:paraId="0000003F">
      <w:pPr>
        <w:numPr>
          <w:ilvl w:val="1"/>
          <w:numId w:val="1"/>
        </w:numPr>
        <w:spacing w:after="0" w:afterAutospacing="0" w:before="0" w:beforeAutospacing="0" w:lineRule="auto"/>
        <w:ind w:left="1440" w:hanging="360"/>
        <w:rPr>
          <w:sz w:val="20"/>
          <w:szCs w:val="20"/>
        </w:rPr>
      </w:pPr>
      <w:r w:rsidDel="00000000" w:rsidR="00000000" w:rsidRPr="00000000">
        <w:rPr>
          <w:sz w:val="20"/>
          <w:szCs w:val="20"/>
          <w:rtl w:val="0"/>
        </w:rPr>
        <w:t xml:space="preserve">“not specify what message is”</w:t>
      </w:r>
    </w:p>
    <w:p w:rsidR="00000000" w:rsidDel="00000000" w:rsidP="00000000" w:rsidRDefault="00000000" w:rsidRPr="00000000" w14:paraId="00000040">
      <w:pPr>
        <w:numPr>
          <w:ilvl w:val="1"/>
          <w:numId w:val="1"/>
        </w:numPr>
        <w:spacing w:after="0" w:afterAutospacing="0" w:before="0" w:beforeAutospacing="0" w:lineRule="auto"/>
        <w:ind w:left="1440" w:hanging="360"/>
        <w:rPr>
          <w:sz w:val="20"/>
          <w:szCs w:val="20"/>
        </w:rPr>
      </w:pPr>
      <w:r w:rsidDel="00000000" w:rsidR="00000000" w:rsidRPr="00000000">
        <w:rPr>
          <w:sz w:val="20"/>
          <w:szCs w:val="20"/>
          <w:rtl w:val="0"/>
        </w:rPr>
        <w:t xml:space="preserve">“possibly become a possibly”</w:t>
      </w:r>
    </w:p>
    <w:p w:rsidR="00000000" w:rsidDel="00000000" w:rsidP="00000000" w:rsidRDefault="00000000" w:rsidRPr="00000000" w14:paraId="00000041">
      <w:pPr>
        <w:numPr>
          <w:ilvl w:val="1"/>
          <w:numId w:val="1"/>
        </w:numPr>
        <w:spacing w:after="0" w:afterAutospacing="0" w:before="0" w:beforeAutospacing="0" w:lineRule="auto"/>
        <w:ind w:left="1440" w:hanging="360"/>
        <w:rPr>
          <w:sz w:val="20"/>
          <w:szCs w:val="20"/>
        </w:rPr>
      </w:pPr>
      <w:r w:rsidDel="00000000" w:rsidR="00000000" w:rsidRPr="00000000">
        <w:rPr>
          <w:sz w:val="20"/>
          <w:szCs w:val="20"/>
          <w:rtl w:val="0"/>
        </w:rPr>
        <w:t xml:space="preserve">“worker differ”</w:t>
      </w:r>
    </w:p>
    <w:p w:rsidR="00000000" w:rsidDel="00000000" w:rsidP="00000000" w:rsidRDefault="00000000" w:rsidRPr="00000000" w14:paraId="00000042">
      <w:pPr>
        <w:numPr>
          <w:ilvl w:val="1"/>
          <w:numId w:val="1"/>
        </w:numPr>
        <w:spacing w:after="0" w:afterAutospacing="0" w:before="0" w:beforeAutospacing="0" w:lineRule="auto"/>
        <w:ind w:left="1440" w:hanging="360"/>
        <w:rPr>
          <w:sz w:val="20"/>
          <w:szCs w:val="20"/>
        </w:rPr>
      </w:pPr>
      <w:r w:rsidDel="00000000" w:rsidR="00000000" w:rsidRPr="00000000">
        <w:rPr>
          <w:sz w:val="20"/>
          <w:szCs w:val="20"/>
          <w:rtl w:val="0"/>
        </w:rPr>
        <w:t xml:space="preserve">“statics continues”</w:t>
      </w:r>
    </w:p>
    <w:p w:rsidR="00000000" w:rsidDel="00000000" w:rsidP="00000000" w:rsidRDefault="00000000" w:rsidRPr="00000000" w14:paraId="00000043">
      <w:pPr>
        <w:numPr>
          <w:ilvl w:val="1"/>
          <w:numId w:val="1"/>
        </w:numPr>
        <w:spacing w:after="0" w:afterAutospacing="0" w:before="0" w:beforeAutospacing="0" w:lineRule="auto"/>
        <w:ind w:left="1440" w:hanging="360"/>
        <w:rPr>
          <w:sz w:val="20"/>
          <w:szCs w:val="20"/>
        </w:rPr>
      </w:pPr>
      <w:r w:rsidDel="00000000" w:rsidR="00000000" w:rsidRPr="00000000">
        <w:rPr>
          <w:sz w:val="20"/>
          <w:szCs w:val="20"/>
          <w:rtl w:val="0"/>
        </w:rPr>
        <w:t xml:space="preserve">“Denote the expected utility they can generate in other markets be”</w:t>
      </w:r>
    </w:p>
    <w:p w:rsidR="00000000" w:rsidDel="00000000" w:rsidP="00000000" w:rsidRDefault="00000000" w:rsidRPr="00000000" w14:paraId="00000044">
      <w:pPr>
        <w:numPr>
          <w:ilvl w:val="1"/>
          <w:numId w:val="1"/>
        </w:numPr>
        <w:spacing w:after="240" w:before="0" w:beforeAutospacing="0" w:lineRule="auto"/>
        <w:ind w:left="1440" w:hanging="360"/>
        <w:rPr>
          <w:sz w:val="20"/>
          <w:szCs w:val="20"/>
        </w:rPr>
      </w:pPr>
      <w:r w:rsidDel="00000000" w:rsidR="00000000" w:rsidRPr="00000000">
        <w:rPr>
          <w:sz w:val="20"/>
          <w:szCs w:val="20"/>
          <w:rtl w:val="0"/>
        </w:rPr>
        <w:t xml:space="preserve">“due in part to employers consider”</w:t>
      </w:r>
    </w:p>
    <w:p w:rsidR="00000000" w:rsidDel="00000000" w:rsidP="00000000" w:rsidRDefault="00000000" w:rsidRPr="00000000" w14:paraId="00000045">
      <w:pPr>
        <w:rPr>
          <w:sz w:val="20"/>
          <w:szCs w:val="20"/>
        </w:rPr>
      </w:pPr>
      <w:r w:rsidDel="00000000" w:rsidR="00000000" w:rsidRPr="00000000">
        <w:rPr>
          <w:rtl w:val="0"/>
        </w:rPr>
      </w:r>
    </w:p>
    <w:p w:rsidR="00000000" w:rsidDel="00000000" w:rsidP="00000000" w:rsidRDefault="00000000" w:rsidRPr="00000000" w14:paraId="00000046">
      <w:pPr>
        <w:rPr>
          <w:sz w:val="20"/>
          <w:szCs w:val="20"/>
        </w:rPr>
      </w:pPr>
      <w:r w:rsidDel="00000000" w:rsidR="00000000" w:rsidRPr="00000000">
        <w:br w:type="page"/>
      </w:r>
      <w:r w:rsidDel="00000000" w:rsidR="00000000" w:rsidRPr="00000000">
        <w:rPr>
          <w:rtl w:val="0"/>
        </w:rPr>
      </w:r>
    </w:p>
    <w:p w:rsidR="00000000" w:rsidDel="00000000" w:rsidP="00000000" w:rsidRDefault="00000000" w:rsidRPr="00000000" w14:paraId="00000047">
      <w:pPr>
        <w:pStyle w:val="Heading1"/>
        <w:rPr>
          <w:sz w:val="38"/>
          <w:szCs w:val="38"/>
        </w:rPr>
      </w:pPr>
      <w:bookmarkStart w:colFirst="0" w:colLast="0" w:name="_8j6lxm6da9ih" w:id="8"/>
      <w:bookmarkEnd w:id="8"/>
      <w:r w:rsidDel="00000000" w:rsidR="00000000" w:rsidRPr="00000000">
        <w:rPr>
          <w:sz w:val="38"/>
          <w:szCs w:val="38"/>
          <w:rtl w:val="0"/>
        </w:rPr>
        <w:t xml:space="preserve">R2 Report</w:t>
      </w:r>
    </w:p>
    <w:p w:rsidR="00000000" w:rsidDel="00000000" w:rsidP="00000000" w:rsidRDefault="00000000" w:rsidRPr="00000000" w14:paraId="00000048">
      <w:pPr>
        <w:pStyle w:val="Heading3"/>
        <w:keepNext w:val="0"/>
        <w:keepLines w:val="0"/>
        <w:spacing w:before="280" w:lineRule="auto"/>
        <w:rPr>
          <w:b w:val="1"/>
          <w:bCs w:val="1"/>
          <w:color w:val="000000"/>
          <w:sz w:val="24"/>
          <w:szCs w:val="24"/>
        </w:rPr>
      </w:pPr>
      <w:bookmarkStart w:colFirst="0" w:colLast="0" w:name="_a7srn26ge5mc" w:id="9"/>
      <w:bookmarkEnd w:id="9"/>
      <w:r w:rsidDel="00000000" w:rsidR="00000000" w:rsidRPr="00000000">
        <w:rPr>
          <w:b w:val="1"/>
          <w:bCs w:val="1"/>
          <w:color w:val="000000"/>
          <w:sz w:val="24"/>
          <w:szCs w:val="24"/>
          <w:rtl w:val="0"/>
        </w:rPr>
        <w:t xml:space="preserve">Summary</w:t>
      </w:r>
    </w:p>
    <w:p w:rsidR="00000000" w:rsidDel="00000000" w:rsidP="00000000" w:rsidRDefault="00000000" w:rsidRPr="00000000" w14:paraId="00000049">
      <w:pPr>
        <w:spacing w:after="240" w:before="240" w:lineRule="auto"/>
        <w:rPr>
          <w:sz w:val="20"/>
          <w:szCs w:val="20"/>
        </w:rPr>
      </w:pPr>
      <w:r w:rsidDel="00000000" w:rsidR="00000000" w:rsidRPr="00000000">
        <w:rPr>
          <w:sz w:val="20"/>
          <w:szCs w:val="20"/>
          <w:rtl w:val="0"/>
        </w:rPr>
        <w:t xml:space="preserve">This paper theoretically and experimentally studies the role of “cheap talk” messages by employers in job ads in an online gig-work labor market, and how these messages affect job matching and bargaining. Specifically, employers are able to state the quality of work they are looking for. Ideally, this would improve efficiency by allowing high-skilled workers to select into high-skill-demand jobs, thus improving market efficiency.</w:t>
      </w:r>
    </w:p>
    <w:p w:rsidR="00000000" w:rsidDel="00000000" w:rsidP="00000000" w:rsidRDefault="00000000" w:rsidRPr="00000000" w14:paraId="0000004A">
      <w:pPr>
        <w:spacing w:after="240" w:before="240" w:lineRule="auto"/>
        <w:rPr>
          <w:sz w:val="20"/>
          <w:szCs w:val="20"/>
        </w:rPr>
      </w:pPr>
      <w:r w:rsidDel="00000000" w:rsidR="00000000" w:rsidRPr="00000000">
        <w:rPr>
          <w:sz w:val="20"/>
          <w:szCs w:val="20"/>
          <w:rtl w:val="0"/>
        </w:rPr>
        <w:t xml:space="preserve">There are two interconnected threats to this mechanism:</w:t>
      </w:r>
    </w:p>
    <w:p w:rsidR="00000000" w:rsidDel="00000000" w:rsidP="00000000" w:rsidRDefault="00000000" w:rsidRPr="00000000" w14:paraId="0000004B">
      <w:pPr>
        <w:numPr>
          <w:ilvl w:val="0"/>
          <w:numId w:val="4"/>
        </w:numPr>
        <w:spacing w:after="0" w:afterAutospacing="0" w:before="240" w:lineRule="auto"/>
        <w:ind w:left="720" w:hanging="360"/>
        <w:rPr>
          <w:sz w:val="20"/>
          <w:szCs w:val="20"/>
          <w:shd w:fill="ff9900" w:val="clear"/>
        </w:rPr>
      </w:pPr>
      <w:r w:rsidDel="00000000" w:rsidR="00000000" w:rsidRPr="00000000">
        <w:rPr>
          <w:sz w:val="20"/>
          <w:szCs w:val="20"/>
          <w:shd w:fill="ff9900" w:val="clear"/>
          <w:rtl w:val="0"/>
        </w:rPr>
        <w:t xml:space="preserve">Wages are negotiated (approximated via a worker TIOLI offer) after the employer’s message. Therefore, an employer who states that they are looking for high-skilled work may reasonably expect to receive higher wage demands.</w:t>
      </w:r>
    </w:p>
    <w:p w:rsidR="00000000" w:rsidDel="00000000" w:rsidP="00000000" w:rsidRDefault="00000000" w:rsidRPr="00000000" w14:paraId="0000004C">
      <w:pPr>
        <w:numPr>
          <w:ilvl w:val="0"/>
          <w:numId w:val="4"/>
        </w:numPr>
        <w:spacing w:after="240" w:before="0" w:beforeAutospacing="0" w:lineRule="auto"/>
        <w:ind w:left="720" w:hanging="360"/>
        <w:rPr>
          <w:sz w:val="20"/>
          <w:szCs w:val="20"/>
        </w:rPr>
      </w:pPr>
      <w:r w:rsidDel="00000000" w:rsidR="00000000" w:rsidRPr="00000000">
        <w:rPr>
          <w:sz w:val="20"/>
          <w:szCs w:val="20"/>
          <w:rtl w:val="0"/>
        </w:rPr>
        <w:t xml:space="preserve">As in cheap-talk games more broadly, employers can “lie” in their messages. This is particularly relevant here because the set of possible messages is exogenously imposed by the market maker. Hence, messages may not be interpreted as intended, or the message space may be too fine to support truthful revelation, leading to a babbling equilibrium.</w:t>
      </w:r>
    </w:p>
    <w:p w:rsidR="00000000" w:rsidDel="00000000" w:rsidP="00000000" w:rsidRDefault="00000000" w:rsidRPr="00000000" w14:paraId="0000004D">
      <w:pPr>
        <w:spacing w:after="240" w:before="240" w:lineRule="auto"/>
        <w:rPr>
          <w:sz w:val="20"/>
          <w:szCs w:val="20"/>
        </w:rPr>
      </w:pPr>
      <w:r w:rsidDel="00000000" w:rsidR="00000000" w:rsidRPr="00000000">
        <w:rPr>
          <w:sz w:val="20"/>
          <w:szCs w:val="20"/>
          <w:rtl w:val="0"/>
        </w:rPr>
        <w:t xml:space="preserve">The authors show a sufficient condition under which a truthtelling equilibrium exists and empirically verify that many of the model’s predictions hold.</w:t>
      </w:r>
    </w:p>
    <w:p w:rsidR="00000000" w:rsidDel="00000000" w:rsidP="00000000" w:rsidRDefault="00000000" w:rsidRPr="00000000" w14:paraId="0000004E">
      <w:pPr>
        <w:pStyle w:val="Heading3"/>
        <w:keepNext w:val="0"/>
        <w:keepLines w:val="0"/>
        <w:spacing w:before="280" w:lineRule="auto"/>
        <w:rPr>
          <w:b w:val="1"/>
          <w:bCs w:val="1"/>
          <w:color w:val="000000"/>
          <w:sz w:val="24"/>
          <w:szCs w:val="24"/>
        </w:rPr>
      </w:pPr>
      <w:bookmarkStart w:colFirst="0" w:colLast="0" w:name="_2kro16z1gi27" w:id="10"/>
      <w:bookmarkEnd w:id="10"/>
      <w:r w:rsidDel="00000000" w:rsidR="00000000" w:rsidRPr="00000000">
        <w:rPr>
          <w:b w:val="1"/>
          <w:bCs w:val="1"/>
          <w:color w:val="000000"/>
          <w:sz w:val="24"/>
          <w:szCs w:val="24"/>
          <w:rtl w:val="0"/>
        </w:rPr>
        <w:t xml:space="preserve">Evaluation</w:t>
      </w:r>
    </w:p>
    <w:p w:rsidR="00000000" w:rsidDel="00000000" w:rsidP="00000000" w:rsidRDefault="00000000" w:rsidRPr="00000000" w14:paraId="0000004F">
      <w:pPr>
        <w:spacing w:after="240" w:before="240" w:lineRule="auto"/>
        <w:rPr>
          <w:sz w:val="20"/>
          <w:szCs w:val="20"/>
        </w:rPr>
      </w:pPr>
      <w:r w:rsidDel="00000000" w:rsidR="00000000" w:rsidRPr="00000000">
        <w:rPr>
          <w:sz w:val="20"/>
          <w:szCs w:val="20"/>
          <w:rtl w:val="0"/>
        </w:rPr>
        <w:t xml:space="preserve">The authors undertake a difficult task in combining a non-trivial model with a non-trivial experiment. I am personally a big fan of this approach, and I think the paper’s broad takeaways are both novel and important. My comments therefore focus primarily on areas for improvement.</w:t>
      </w:r>
    </w:p>
    <w:p w:rsidR="00000000" w:rsidDel="00000000" w:rsidP="00000000" w:rsidRDefault="00000000" w:rsidRPr="00000000" w14:paraId="00000050">
      <w:pPr>
        <w:spacing w:after="240" w:before="240" w:lineRule="auto"/>
        <w:rPr>
          <w:sz w:val="20"/>
          <w:szCs w:val="20"/>
        </w:rPr>
      </w:pPr>
      <w:r w:rsidDel="00000000" w:rsidR="00000000" w:rsidRPr="00000000">
        <w:rPr>
          <w:sz w:val="20"/>
          <w:szCs w:val="20"/>
          <w:rtl w:val="0"/>
        </w:rPr>
        <w:t xml:space="preserve">In short, I found the experimental write-up to be largely clear and convincing, but I found the write-up of the model—and the connection between the model and the experiment—to need significant work. As a disclaimer: I did not fully understand some aspects of the model as written, so some of my suggestions are open-ended.</w:t>
      </w:r>
    </w:p>
    <w:p w:rsidR="00000000" w:rsidDel="00000000" w:rsidP="00000000" w:rsidRDefault="00000000" w:rsidRPr="00000000" w14:paraId="00000051">
      <w:pPr>
        <w:pStyle w:val="Heading3"/>
        <w:keepNext w:val="0"/>
        <w:keepLines w:val="0"/>
        <w:spacing w:before="280" w:lineRule="auto"/>
        <w:rPr>
          <w:b w:val="1"/>
          <w:bCs w:val="1"/>
          <w:color w:val="000000"/>
          <w:sz w:val="24"/>
          <w:szCs w:val="24"/>
        </w:rPr>
      </w:pPr>
      <w:bookmarkStart w:colFirst="0" w:colLast="0" w:name="_wdexpdvfebfh" w:id="11"/>
      <w:bookmarkEnd w:id="11"/>
      <w:r w:rsidDel="00000000" w:rsidR="00000000" w:rsidRPr="00000000">
        <w:rPr>
          <w:b w:val="1"/>
          <w:bCs w:val="1"/>
          <w:color w:val="000000"/>
          <w:sz w:val="24"/>
          <w:szCs w:val="24"/>
          <w:rtl w:val="0"/>
        </w:rPr>
        <w:t xml:space="preserve">1. Clarity and structure of the model</w:t>
      </w:r>
    </w:p>
    <w:p w:rsidR="00000000" w:rsidDel="00000000" w:rsidP="00000000" w:rsidRDefault="00000000" w:rsidRPr="00000000" w14:paraId="00000052">
      <w:pPr>
        <w:spacing w:after="240" w:before="240" w:lineRule="auto"/>
        <w:rPr>
          <w:sz w:val="20"/>
          <w:szCs w:val="20"/>
        </w:rPr>
      </w:pPr>
      <w:r w:rsidDel="00000000" w:rsidR="00000000" w:rsidRPr="00000000">
        <w:rPr>
          <w:sz w:val="20"/>
          <w:szCs w:val="20"/>
          <w:rtl w:val="0"/>
        </w:rPr>
        <w:t xml:space="preserve">The model is presented in a way that is neither fully formal nor purely intuitive; it sits somewhere in between, with important aspects left informal but intuition interspersed throughout. This makes the model difficult to follow.</w:t>
      </w:r>
    </w:p>
    <w:p w:rsidR="00000000" w:rsidDel="00000000" w:rsidP="00000000" w:rsidRDefault="00000000" w:rsidRPr="00000000" w14:paraId="00000053">
      <w:pPr>
        <w:spacing w:after="240" w:before="240" w:lineRule="auto"/>
        <w:rPr>
          <w:sz w:val="20"/>
          <w:szCs w:val="20"/>
        </w:rPr>
      </w:pPr>
      <w:r w:rsidDel="00000000" w:rsidR="00000000" w:rsidRPr="00000000">
        <w:rPr>
          <w:sz w:val="20"/>
          <w:szCs w:val="20"/>
          <w:rtl w:val="0"/>
        </w:rPr>
        <w:t xml:space="preserve">My preference would be to expand the model description and explanation so it can stand alone in the body of the paper. If the editor or authors disagree, it might even be cleaner to move the entire model to an appendix and present only the results in the main text as a guide to the experiment.</w:t>
      </w:r>
    </w:p>
    <w:p w:rsidR="00000000" w:rsidDel="00000000" w:rsidP="00000000" w:rsidRDefault="00000000" w:rsidRPr="00000000" w14:paraId="00000054">
      <w:pPr>
        <w:spacing w:after="240" w:before="240" w:lineRule="auto"/>
        <w:rPr>
          <w:sz w:val="20"/>
          <w:szCs w:val="20"/>
        </w:rPr>
      </w:pPr>
      <w:r w:rsidDel="00000000" w:rsidR="00000000" w:rsidRPr="00000000">
        <w:rPr>
          <w:sz w:val="20"/>
          <w:szCs w:val="20"/>
          <w:rtl w:val="0"/>
        </w:rPr>
        <w:t xml:space="preserve">If the authors opt for the first approach, I suggest creating:</w:t>
      </w:r>
    </w:p>
    <w:p w:rsidR="00000000" w:rsidDel="00000000" w:rsidP="00000000" w:rsidRDefault="00000000" w:rsidRPr="00000000" w14:paraId="00000055">
      <w:pPr>
        <w:numPr>
          <w:ilvl w:val="0"/>
          <w:numId w:val="7"/>
        </w:numPr>
        <w:spacing w:after="0" w:afterAutospacing="0" w:before="240" w:lineRule="auto"/>
        <w:ind w:left="720" w:hanging="360"/>
        <w:rPr>
          <w:sz w:val="20"/>
          <w:szCs w:val="20"/>
        </w:rPr>
      </w:pPr>
      <w:r w:rsidDel="00000000" w:rsidR="00000000" w:rsidRPr="00000000">
        <w:rPr>
          <w:sz w:val="20"/>
          <w:szCs w:val="20"/>
          <w:rtl w:val="0"/>
        </w:rPr>
        <w:t xml:space="preserve">a </w:t>
      </w:r>
      <w:r w:rsidDel="00000000" w:rsidR="00000000" w:rsidRPr="00000000">
        <w:rPr>
          <w:b w:val="1"/>
          <w:bCs w:val="1"/>
          <w:sz w:val="20"/>
          <w:szCs w:val="20"/>
          <w:rtl w:val="0"/>
        </w:rPr>
        <w:t xml:space="preserve">technical section</w:t>
      </w:r>
      <w:r w:rsidDel="00000000" w:rsidR="00000000" w:rsidRPr="00000000">
        <w:rPr>
          <w:sz w:val="20"/>
          <w:szCs w:val="20"/>
          <w:rtl w:val="0"/>
        </w:rPr>
        <w:t xml:space="preserve"> that presents the model formally, and</w:t>
      </w:r>
    </w:p>
    <w:p w:rsidR="00000000" w:rsidDel="00000000" w:rsidP="00000000" w:rsidRDefault="00000000" w:rsidRPr="00000000" w14:paraId="00000056">
      <w:pPr>
        <w:numPr>
          <w:ilvl w:val="0"/>
          <w:numId w:val="7"/>
        </w:numPr>
        <w:spacing w:after="240" w:before="0" w:beforeAutospacing="0" w:lineRule="auto"/>
        <w:ind w:left="720" w:hanging="360"/>
        <w:rPr>
          <w:sz w:val="20"/>
          <w:szCs w:val="20"/>
        </w:rPr>
      </w:pPr>
      <w:r w:rsidDel="00000000" w:rsidR="00000000" w:rsidRPr="00000000">
        <w:rPr>
          <w:sz w:val="20"/>
          <w:szCs w:val="20"/>
          <w:rtl w:val="0"/>
        </w:rPr>
        <w:t xml:space="preserve">a </w:t>
      </w:r>
      <w:r w:rsidDel="00000000" w:rsidR="00000000" w:rsidRPr="00000000">
        <w:rPr>
          <w:b w:val="1"/>
          <w:bCs w:val="1"/>
          <w:sz w:val="20"/>
          <w:szCs w:val="20"/>
          <w:rtl w:val="0"/>
        </w:rPr>
        <w:t xml:space="preserve">separate section</w:t>
      </w:r>
      <w:r w:rsidDel="00000000" w:rsidR="00000000" w:rsidRPr="00000000">
        <w:rPr>
          <w:sz w:val="20"/>
          <w:szCs w:val="20"/>
          <w:rtl w:val="0"/>
        </w:rPr>
        <w:t xml:space="preserve"> (either before or after) that discusses the intuition, assumptions, and modeling choices.</w:t>
      </w:r>
    </w:p>
    <w:p w:rsidR="00000000" w:rsidDel="00000000" w:rsidP="00000000" w:rsidRDefault="00000000" w:rsidRPr="00000000" w14:paraId="00000057">
      <w:pPr>
        <w:spacing w:after="240" w:before="240" w:lineRule="auto"/>
        <w:rPr>
          <w:sz w:val="20"/>
          <w:szCs w:val="20"/>
        </w:rPr>
      </w:pPr>
      <w:r w:rsidDel="00000000" w:rsidR="00000000" w:rsidRPr="00000000">
        <w:rPr>
          <w:sz w:val="20"/>
          <w:szCs w:val="20"/>
          <w:rtl w:val="0"/>
        </w:rPr>
        <w:t xml:space="preserve">Specific confusions:</w:t>
      </w:r>
    </w:p>
    <w:p w:rsidR="00000000" w:rsidDel="00000000" w:rsidP="00000000" w:rsidRDefault="00000000" w:rsidRPr="00000000" w14:paraId="00000058">
      <w:pPr>
        <w:spacing w:after="240" w:before="240" w:lineRule="auto"/>
        <w:rPr>
          <w:sz w:val="20"/>
          <w:szCs w:val="20"/>
        </w:rPr>
      </w:pPr>
      <w:r w:rsidDel="00000000" w:rsidR="00000000" w:rsidRPr="00000000">
        <w:rPr>
          <w:sz w:val="20"/>
          <w:szCs w:val="20"/>
          <w:rtl w:val="0"/>
        </w:rPr>
        <w:t xml:space="preserve">a. There is a lot of defensive writing that inflates the model section. For example, before introducing the model (p. 9), the authors write that they are not aiming for maximum generality. Fair enough—but then the first paragraph of the model discusses alternative payoff functions and the simplification to two types (high and low).</w:t>
      </w:r>
    </w:p>
    <w:p w:rsidR="00000000" w:rsidDel="00000000" w:rsidP="00000000" w:rsidRDefault="00000000" w:rsidRPr="00000000" w14:paraId="00000059">
      <w:pPr>
        <w:spacing w:after="240" w:before="240" w:lineRule="auto"/>
        <w:rPr>
          <w:sz w:val="20"/>
          <w:szCs w:val="20"/>
        </w:rPr>
      </w:pPr>
      <w:r w:rsidDel="00000000" w:rsidR="00000000" w:rsidRPr="00000000">
        <w:rPr>
          <w:sz w:val="20"/>
          <w:szCs w:val="20"/>
          <w:rtl w:val="0"/>
        </w:rPr>
        <w:t xml:space="preserve">b. The intuition is mixed into the formal setup, making it unclear what is definitional versus explanatory. For instance, at the bottom of p. 10, the authors discuss “multiple exogenous signals” of job type—this appears without prior introduction. The same issue occurs with the paragraph on outside options.</w:t>
      </w:r>
    </w:p>
    <w:p w:rsidR="00000000" w:rsidDel="00000000" w:rsidP="00000000" w:rsidRDefault="00000000" w:rsidRPr="00000000" w14:paraId="0000005A">
      <w:pPr>
        <w:spacing w:after="240" w:before="240" w:lineRule="auto"/>
        <w:rPr>
          <w:sz w:val="20"/>
          <w:szCs w:val="20"/>
        </w:rPr>
      </w:pPr>
      <w:r w:rsidDel="00000000" w:rsidR="00000000" w:rsidRPr="00000000">
        <w:rPr>
          <w:sz w:val="20"/>
          <w:szCs w:val="20"/>
          <w:rtl w:val="0"/>
        </w:rPr>
        <w:t xml:space="preserve">c. Certain key assumptions are undefined. The text refers to “a mass of workers” (p. 9) and a “large market” (p. 11). Does this imply a continuum of firms or jobs? The assertion on p. 11 that “randomness leads to a Poisson distribution of workers at a given firm” is also unclear.</w:t>
      </w:r>
    </w:p>
    <w:p w:rsidR="00000000" w:rsidDel="00000000" w:rsidP="00000000" w:rsidRDefault="00000000" w:rsidRPr="00000000" w14:paraId="0000005B">
      <w:pPr>
        <w:spacing w:after="240" w:before="240" w:lineRule="auto"/>
        <w:rPr>
          <w:sz w:val="20"/>
          <w:szCs w:val="20"/>
        </w:rPr>
      </w:pPr>
      <w:r w:rsidDel="00000000" w:rsidR="00000000" w:rsidRPr="00000000">
        <w:rPr>
          <w:sz w:val="20"/>
          <w:szCs w:val="20"/>
          <w:rtl w:val="0"/>
        </w:rPr>
        <w:t xml:space="preserve">d. Has </w:t>
      </w:r>
      <w:r w:rsidDel="00000000" w:rsidR="00000000" w:rsidRPr="00000000">
        <w:rPr>
          <w:i w:val="1"/>
          <w:iCs w:val="1"/>
          <w:sz w:val="20"/>
          <w:szCs w:val="20"/>
          <w:rtl w:val="0"/>
        </w:rPr>
        <w:t xml:space="preserve">truthful reporting</w:t>
      </w:r>
      <w:r w:rsidDel="00000000" w:rsidR="00000000" w:rsidRPr="00000000">
        <w:rPr>
          <w:sz w:val="20"/>
          <w:szCs w:val="20"/>
          <w:rtl w:val="0"/>
        </w:rPr>
        <w:t xml:space="preserve"> been defined before Proposition 1? Section III.C, which discusses truthtelling, is quite useful and might be moved earlier.</w:t>
      </w:r>
    </w:p>
    <w:p w:rsidR="00000000" w:rsidDel="00000000" w:rsidP="00000000" w:rsidRDefault="00000000" w:rsidRPr="00000000" w14:paraId="0000005C">
      <w:pPr>
        <w:spacing w:after="240" w:before="240" w:lineRule="auto"/>
        <w:rPr>
          <w:sz w:val="20"/>
          <w:szCs w:val="20"/>
        </w:rPr>
      </w:pPr>
      <w:r w:rsidDel="00000000" w:rsidR="00000000" w:rsidRPr="00000000">
        <w:rPr>
          <w:sz w:val="20"/>
          <w:szCs w:val="20"/>
          <w:rtl w:val="0"/>
        </w:rPr>
        <w:t xml:space="preserve">e. Proofs are hard to follow. For example, the proof of Corollary 1 requires flipping between the body, printed appendix, and online appendix. It’s difficult to track how each component connects.</w:t>
      </w:r>
    </w:p>
    <w:p w:rsidR="00000000" w:rsidDel="00000000" w:rsidP="00000000" w:rsidRDefault="00000000" w:rsidRPr="00000000" w14:paraId="0000005D">
      <w:pPr>
        <w:pStyle w:val="Heading3"/>
        <w:keepNext w:val="0"/>
        <w:keepLines w:val="0"/>
        <w:spacing w:before="280" w:lineRule="auto"/>
        <w:rPr>
          <w:b w:val="1"/>
          <w:bCs w:val="1"/>
          <w:color w:val="000000"/>
          <w:sz w:val="24"/>
          <w:szCs w:val="24"/>
        </w:rPr>
      </w:pPr>
      <w:bookmarkStart w:colFirst="0" w:colLast="0" w:name="_x54jda1f4wsa" w:id="12"/>
      <w:bookmarkEnd w:id="12"/>
      <w:r w:rsidDel="00000000" w:rsidR="00000000" w:rsidRPr="00000000">
        <w:rPr>
          <w:b w:val="1"/>
          <w:bCs w:val="1"/>
          <w:color w:val="000000"/>
          <w:sz w:val="24"/>
          <w:szCs w:val="24"/>
          <w:rtl w:val="0"/>
        </w:rPr>
        <w:t xml:space="preserve">2. Role and test of truthtelling</w:t>
      </w:r>
    </w:p>
    <w:p w:rsidR="00000000" w:rsidDel="00000000" w:rsidP="00000000" w:rsidRDefault="00000000" w:rsidRPr="00000000" w14:paraId="0000005E">
      <w:pPr>
        <w:spacing w:after="240" w:before="240" w:lineRule="auto"/>
        <w:rPr>
          <w:sz w:val="20"/>
          <w:szCs w:val="20"/>
        </w:rPr>
      </w:pPr>
      <w:r w:rsidDel="00000000" w:rsidR="00000000" w:rsidRPr="00000000">
        <w:rPr>
          <w:sz w:val="20"/>
          <w:szCs w:val="20"/>
          <w:rtl w:val="0"/>
        </w:rPr>
        <w:t xml:space="preserve">The assumption seems to be that employers will be truthful in the explicit treatment arm when their message is </w:t>
      </w:r>
      <w:r w:rsidDel="00000000" w:rsidR="00000000" w:rsidRPr="00000000">
        <w:rPr>
          <w:i w:val="1"/>
          <w:iCs w:val="1"/>
          <w:sz w:val="20"/>
          <w:szCs w:val="20"/>
          <w:rtl w:val="0"/>
        </w:rPr>
        <w:t xml:space="preserve">not</w:t>
      </w:r>
      <w:r w:rsidDel="00000000" w:rsidR="00000000" w:rsidRPr="00000000">
        <w:rPr>
          <w:sz w:val="20"/>
          <w:szCs w:val="20"/>
          <w:rtl w:val="0"/>
        </w:rPr>
        <w:t xml:space="preserve"> shown to workers. The authors then compare this group to those whose messages are revealed. Finding no difference is interpreted as consistent with truthtelling, which justifies pooling the samples.</w:t>
      </w:r>
    </w:p>
    <w:p w:rsidR="00000000" w:rsidDel="00000000" w:rsidP="00000000" w:rsidRDefault="00000000" w:rsidRPr="00000000" w14:paraId="0000005F">
      <w:pPr>
        <w:spacing w:after="240" w:before="240" w:lineRule="auto"/>
        <w:rPr>
          <w:sz w:val="20"/>
          <w:szCs w:val="20"/>
        </w:rPr>
      </w:pPr>
      <w:r w:rsidDel="00000000" w:rsidR="00000000" w:rsidRPr="00000000">
        <w:rPr>
          <w:sz w:val="20"/>
          <w:szCs w:val="20"/>
          <w:rtl w:val="0"/>
        </w:rPr>
        <w:t xml:space="preserve">Comments:</w:t>
      </w:r>
    </w:p>
    <w:p w:rsidR="00000000" w:rsidDel="00000000" w:rsidP="00000000" w:rsidRDefault="00000000" w:rsidRPr="00000000" w14:paraId="00000060">
      <w:pPr>
        <w:spacing w:after="240" w:before="240" w:lineRule="auto"/>
        <w:rPr>
          <w:sz w:val="20"/>
          <w:szCs w:val="20"/>
          <w:highlight w:val="yellow"/>
        </w:rPr>
      </w:pPr>
      <w:r w:rsidDel="00000000" w:rsidR="00000000" w:rsidRPr="00000000">
        <w:rPr>
          <w:sz w:val="20"/>
          <w:szCs w:val="20"/>
          <w:rtl w:val="0"/>
        </w:rPr>
        <w:t xml:space="preserve">a. </w:t>
      </w:r>
      <w:r w:rsidDel="00000000" w:rsidR="00000000" w:rsidRPr="00000000">
        <w:rPr>
          <w:sz w:val="20"/>
          <w:szCs w:val="20"/>
          <w:highlight w:val="yellow"/>
          <w:rtl w:val="0"/>
        </w:rPr>
        <w:t xml:space="preserve">The authors could emphasize that additional support for this assumption comes from the fact that the data validate several model predictions that rely on truthtelling.</w:t>
      </w:r>
    </w:p>
    <w:p w:rsidR="00000000" w:rsidDel="00000000" w:rsidP="00000000" w:rsidRDefault="00000000" w:rsidRPr="00000000" w14:paraId="00000061">
      <w:pPr>
        <w:spacing w:after="240" w:before="240" w:lineRule="auto"/>
        <w:rPr>
          <w:sz w:val="20"/>
          <w:szCs w:val="20"/>
          <w:shd w:fill="ff9900" w:val="clear"/>
        </w:rPr>
      </w:pPr>
      <w:r w:rsidDel="00000000" w:rsidR="00000000" w:rsidRPr="00000000">
        <w:rPr>
          <w:sz w:val="20"/>
          <w:szCs w:val="20"/>
          <w:rtl w:val="0"/>
        </w:rPr>
        <w:t xml:space="preserve">b. </w:t>
      </w:r>
      <w:r w:rsidDel="00000000" w:rsidR="00000000" w:rsidRPr="00000000">
        <w:rPr>
          <w:sz w:val="20"/>
          <w:szCs w:val="20"/>
          <w:shd w:fill="ff9900" w:val="clear"/>
          <w:rtl w:val="0"/>
        </w:rPr>
        <w:t xml:space="preserve">The choice to pool the sample is not always consistent: it is done after Figure 1, except in Figure 4, and again in Section V.E. A brief clarification would help.</w:t>
      </w:r>
    </w:p>
    <w:p w:rsidR="00000000" w:rsidDel="00000000" w:rsidP="00000000" w:rsidRDefault="00000000" w:rsidRPr="00000000" w14:paraId="00000062">
      <w:pPr>
        <w:spacing w:after="240" w:before="240" w:lineRule="auto"/>
        <w:rPr>
          <w:sz w:val="20"/>
          <w:szCs w:val="20"/>
        </w:rPr>
      </w:pPr>
      <w:r w:rsidDel="00000000" w:rsidR="00000000" w:rsidRPr="00000000">
        <w:rPr>
          <w:sz w:val="20"/>
          <w:szCs w:val="20"/>
          <w:rtl w:val="0"/>
        </w:rPr>
        <w:t xml:space="preserve">c. The assumption of truthtelling should be stated more explicitly and consistently. The introduction presents it as a plausible behavioral assumption, while the main text treats it as an imposed assumption.</w:t>
      </w:r>
    </w:p>
    <w:p w:rsidR="00000000" w:rsidDel="00000000" w:rsidP="00000000" w:rsidRDefault="00000000" w:rsidRPr="00000000" w14:paraId="00000063">
      <w:pPr>
        <w:pStyle w:val="Heading3"/>
        <w:keepNext w:val="0"/>
        <w:keepLines w:val="0"/>
        <w:spacing w:before="280" w:lineRule="auto"/>
        <w:rPr>
          <w:b w:val="1"/>
          <w:bCs w:val="1"/>
          <w:color w:val="000000"/>
          <w:sz w:val="24"/>
          <w:szCs w:val="24"/>
          <w:highlight w:val="yellow"/>
        </w:rPr>
      </w:pPr>
      <w:bookmarkStart w:colFirst="0" w:colLast="0" w:name="_e2mcudiix0t9" w:id="13"/>
      <w:bookmarkEnd w:id="13"/>
      <w:r w:rsidDel="00000000" w:rsidR="00000000" w:rsidRPr="00000000">
        <w:rPr>
          <w:b w:val="1"/>
          <w:bCs w:val="1"/>
          <w:color w:val="000000"/>
          <w:sz w:val="24"/>
          <w:szCs w:val="24"/>
          <w:rtl w:val="0"/>
        </w:rPr>
        <w:t xml:space="preserve">3. </w:t>
      </w:r>
      <w:r w:rsidDel="00000000" w:rsidR="00000000" w:rsidRPr="00000000">
        <w:rPr>
          <w:b w:val="1"/>
          <w:bCs w:val="1"/>
          <w:color w:val="000000"/>
          <w:sz w:val="24"/>
          <w:szCs w:val="24"/>
          <w:highlight w:val="yellow"/>
          <w:rtl w:val="0"/>
        </w:rPr>
        <w:t xml:space="preserve">The second signal (ψ₂)</w:t>
      </w:r>
    </w:p>
    <w:p w:rsidR="00000000" w:rsidDel="00000000" w:rsidP="00000000" w:rsidRDefault="00000000" w:rsidRPr="00000000" w14:paraId="00000064">
      <w:pPr>
        <w:spacing w:after="240" w:before="240" w:lineRule="auto"/>
        <w:rPr>
          <w:sz w:val="20"/>
          <w:szCs w:val="20"/>
        </w:rPr>
      </w:pPr>
      <w:r w:rsidDel="00000000" w:rsidR="00000000" w:rsidRPr="00000000">
        <w:rPr>
          <w:sz w:val="20"/>
          <w:szCs w:val="20"/>
          <w:rtl w:val="0"/>
        </w:rPr>
        <w:t xml:space="preserve">On p. 11, the authors assume the worker’s second signal about the job is nearly perfectly revealing (“We assume a very precise second signal (ψ₂ close to 1)…”). In the model, this implies that workers have uncertainty about firm type when deciding where to apply, but almost none when making the wage offer.</w:t>
      </w:r>
    </w:p>
    <w:p w:rsidR="00000000" w:rsidDel="00000000" w:rsidP="00000000" w:rsidRDefault="00000000" w:rsidRPr="00000000" w14:paraId="00000065">
      <w:pPr>
        <w:spacing w:after="240" w:before="240" w:lineRule="auto"/>
        <w:rPr>
          <w:sz w:val="20"/>
          <w:szCs w:val="20"/>
        </w:rPr>
      </w:pPr>
      <w:r w:rsidDel="00000000" w:rsidR="00000000" w:rsidRPr="00000000">
        <w:rPr>
          <w:rFonts w:ascii="Arial Unicode MS" w:cs="Arial Unicode MS" w:eastAsia="Arial Unicode MS" w:hAnsi="Arial Unicode MS"/>
          <w:sz w:val="20"/>
          <w:szCs w:val="20"/>
          <w:rtl w:val="0"/>
        </w:rPr>
        <w:t xml:space="preserve">Why not simplify the model by assuming the signal is perfectly revealing? With ψ₂ → 1, the message affects only sorting, not wage offers. In that case, the experiment should have </w:t>
      </w:r>
      <w:r w:rsidDel="00000000" w:rsidR="00000000" w:rsidRPr="00000000">
        <w:rPr>
          <w:i w:val="1"/>
          <w:iCs w:val="1"/>
          <w:sz w:val="20"/>
          <w:szCs w:val="20"/>
          <w:rtl w:val="0"/>
        </w:rPr>
        <w:t xml:space="preserve">no impact on wages</w:t>
      </w:r>
      <w:r w:rsidDel="00000000" w:rsidR="00000000" w:rsidRPr="00000000">
        <w:rPr>
          <w:sz w:val="20"/>
          <w:szCs w:val="20"/>
          <w:rtl w:val="0"/>
        </w:rPr>
        <w:t xml:space="preserve"> conditional on worker-firm type. But the paper’s Proposition 1 and empirical results both imply non-trivial wage effects from the message. Is there something subtle I’m missing?</w:t>
      </w:r>
    </w:p>
    <w:p w:rsidR="00000000" w:rsidDel="00000000" w:rsidP="00000000" w:rsidRDefault="00000000" w:rsidRPr="00000000" w14:paraId="00000066">
      <w:pPr>
        <w:pStyle w:val="Heading3"/>
        <w:keepNext w:val="0"/>
        <w:keepLines w:val="0"/>
        <w:spacing w:before="280" w:lineRule="auto"/>
        <w:rPr>
          <w:b w:val="1"/>
          <w:bCs w:val="1"/>
          <w:color w:val="000000"/>
          <w:sz w:val="24"/>
          <w:szCs w:val="24"/>
        </w:rPr>
      </w:pPr>
      <w:bookmarkStart w:colFirst="0" w:colLast="0" w:name="_wax157cm0b7j" w:id="14"/>
      <w:bookmarkEnd w:id="14"/>
      <w:r w:rsidDel="00000000" w:rsidR="00000000" w:rsidRPr="00000000">
        <w:rPr>
          <w:b w:val="1"/>
          <w:bCs w:val="1"/>
          <w:color w:val="000000"/>
          <w:sz w:val="24"/>
          <w:szCs w:val="24"/>
          <w:rtl w:val="0"/>
        </w:rPr>
        <w:t xml:space="preserve">Smaller comments</w:t>
      </w:r>
    </w:p>
    <w:p w:rsidR="00000000" w:rsidDel="00000000" w:rsidP="00000000" w:rsidRDefault="00000000" w:rsidRPr="00000000" w14:paraId="00000067">
      <w:pPr>
        <w:numPr>
          <w:ilvl w:val="0"/>
          <w:numId w:val="6"/>
        </w:numPr>
        <w:spacing w:after="0" w:afterAutospacing="0" w:before="240" w:lineRule="auto"/>
        <w:ind w:left="720" w:hanging="360"/>
        <w:rPr>
          <w:sz w:val="20"/>
          <w:szCs w:val="20"/>
        </w:rPr>
      </w:pPr>
      <w:r w:rsidDel="00000000" w:rsidR="00000000" w:rsidRPr="00000000">
        <w:rPr>
          <w:sz w:val="20"/>
          <w:szCs w:val="20"/>
          <w:rtl w:val="0"/>
        </w:rPr>
        <w:t xml:space="preserve">The citation style is confusing. For instance, in the last paragraph of p. 2, it is unclear whether parenthetical citations refer to the same labor market studied in this paper or others. Similar ambiguity appears on p. 6 (Tadelis and Zettelmeyer).</w:t>
      </w:r>
    </w:p>
    <w:p w:rsidR="00000000" w:rsidDel="00000000" w:rsidP="00000000" w:rsidRDefault="00000000" w:rsidRPr="00000000" w14:paraId="00000068">
      <w:pPr>
        <w:numPr>
          <w:ilvl w:val="0"/>
          <w:numId w:val="6"/>
        </w:numPr>
        <w:spacing w:after="0" w:afterAutospacing="0" w:before="0" w:beforeAutospacing="0" w:lineRule="auto"/>
        <w:ind w:left="720" w:hanging="360"/>
        <w:rPr>
          <w:sz w:val="20"/>
          <w:szCs w:val="20"/>
          <w:shd w:fill="ff9900" w:val="clear"/>
        </w:rPr>
      </w:pPr>
      <w:r w:rsidDel="00000000" w:rsidR="00000000" w:rsidRPr="00000000">
        <w:rPr>
          <w:sz w:val="20"/>
          <w:szCs w:val="20"/>
          <w:shd w:fill="ff9900" w:val="clear"/>
          <w:rtl w:val="0"/>
        </w:rPr>
        <w:t xml:space="preserve">I did not understand the first full sentence on p. 25 (“This simplification of the model…”).</w:t>
      </w:r>
    </w:p>
    <w:p w:rsidR="00000000" w:rsidDel="00000000" w:rsidP="00000000" w:rsidRDefault="00000000" w:rsidRPr="00000000" w14:paraId="00000069">
      <w:pPr>
        <w:numPr>
          <w:ilvl w:val="0"/>
          <w:numId w:val="6"/>
        </w:numPr>
        <w:spacing w:after="0" w:afterAutospacing="0" w:before="0" w:beforeAutospacing="0" w:lineRule="auto"/>
        <w:ind w:left="720" w:hanging="360"/>
        <w:rPr>
          <w:sz w:val="20"/>
          <w:szCs w:val="20"/>
          <w:shd w:fill="ff9900" w:val="clear"/>
        </w:rPr>
      </w:pPr>
      <w:r w:rsidDel="00000000" w:rsidR="00000000" w:rsidRPr="00000000">
        <w:rPr>
          <w:sz w:val="20"/>
          <w:szCs w:val="20"/>
          <w:shd w:fill="ff9900" w:val="clear"/>
          <w:rtl w:val="0"/>
        </w:rPr>
        <w:t xml:space="preserve">On p. 26, the authors might be clearer by continuing to use “prior cumulative earnings” instead of “experience.”</w:t>
      </w:r>
    </w:p>
    <w:p w:rsidR="00000000" w:rsidDel="00000000" w:rsidP="00000000" w:rsidRDefault="00000000" w:rsidRPr="00000000" w14:paraId="0000006A">
      <w:pPr>
        <w:numPr>
          <w:ilvl w:val="0"/>
          <w:numId w:val="6"/>
        </w:numPr>
        <w:spacing w:after="0" w:afterAutospacing="0" w:before="0" w:beforeAutospacing="0" w:lineRule="auto"/>
        <w:ind w:left="720" w:hanging="360"/>
        <w:rPr>
          <w:sz w:val="20"/>
          <w:szCs w:val="20"/>
          <w:shd w:fill="ff9900" w:val="clear"/>
        </w:rPr>
      </w:pPr>
      <w:r w:rsidDel="00000000" w:rsidR="00000000" w:rsidRPr="00000000">
        <w:rPr>
          <w:sz w:val="20"/>
          <w:szCs w:val="20"/>
          <w:shd w:fill="ff9900" w:val="clear"/>
          <w:rtl w:val="0"/>
        </w:rPr>
        <w:t xml:space="preserve">The panels in Figure 5 are not ordered as described on p. 28.</w:t>
      </w:r>
    </w:p>
    <w:p w:rsidR="00000000" w:rsidDel="00000000" w:rsidP="00000000" w:rsidRDefault="00000000" w:rsidRPr="00000000" w14:paraId="0000006B">
      <w:pPr>
        <w:numPr>
          <w:ilvl w:val="0"/>
          <w:numId w:val="6"/>
        </w:numPr>
        <w:spacing w:after="0" w:afterAutospacing="0" w:before="0" w:beforeAutospacing="0" w:lineRule="auto"/>
        <w:ind w:left="720" w:hanging="360"/>
        <w:rPr>
          <w:sz w:val="20"/>
          <w:szCs w:val="20"/>
        </w:rPr>
      </w:pPr>
      <w:r w:rsidDel="00000000" w:rsidR="00000000" w:rsidRPr="00000000">
        <w:rPr>
          <w:sz w:val="20"/>
          <w:szCs w:val="20"/>
          <w:rtl w:val="0"/>
        </w:rPr>
        <w:t xml:space="preserve">Clarify terminology in Proposition 1: sometimes “part,” sometimes “bullet,” sometimes “Part.”</w:t>
      </w:r>
    </w:p>
    <w:p w:rsidR="00000000" w:rsidDel="00000000" w:rsidP="00000000" w:rsidRDefault="00000000" w:rsidRPr="00000000" w14:paraId="0000006C">
      <w:pPr>
        <w:numPr>
          <w:ilvl w:val="0"/>
          <w:numId w:val="6"/>
        </w:numPr>
        <w:spacing w:after="0" w:afterAutospacing="0" w:before="0" w:beforeAutospacing="0" w:lineRule="auto"/>
        <w:ind w:left="720" w:hanging="360"/>
        <w:rPr>
          <w:sz w:val="20"/>
          <w:szCs w:val="20"/>
          <w:shd w:fill="ff9900" w:val="clear"/>
        </w:rPr>
      </w:pPr>
      <w:r w:rsidDel="00000000" w:rsidR="00000000" w:rsidRPr="00000000">
        <w:rPr>
          <w:sz w:val="20"/>
          <w:szCs w:val="20"/>
          <w:shd w:fill="ff9900" w:val="clear"/>
          <w:rtl w:val="0"/>
        </w:rPr>
        <w:t xml:space="preserve">Avoid “-Y% decrease” phrasing; use “Y% decrease.”</w:t>
      </w:r>
    </w:p>
    <w:p w:rsidR="00000000" w:rsidDel="00000000" w:rsidP="00000000" w:rsidRDefault="00000000" w:rsidRPr="00000000" w14:paraId="0000006D">
      <w:pPr>
        <w:numPr>
          <w:ilvl w:val="0"/>
          <w:numId w:val="6"/>
        </w:numPr>
        <w:spacing w:after="0" w:afterAutospacing="0" w:before="0" w:beforeAutospacing="0" w:lineRule="auto"/>
        <w:ind w:left="720" w:hanging="360"/>
        <w:rPr>
          <w:sz w:val="20"/>
          <w:szCs w:val="20"/>
          <w:shd w:fill="ff9900" w:val="clear"/>
        </w:rPr>
      </w:pPr>
      <w:r w:rsidDel="00000000" w:rsidR="00000000" w:rsidRPr="00000000">
        <w:rPr>
          <w:sz w:val="20"/>
          <w:szCs w:val="20"/>
          <w:shd w:fill="ff9900" w:val="clear"/>
          <w:rtl w:val="0"/>
        </w:rPr>
        <w:t xml:space="preserve">Typos on p. 28: an extra “)” after the Figure 3 reference; last sentence of the paragraph ends with “due in part to employers consider.”</w:t>
      </w:r>
    </w:p>
    <w:p w:rsidR="00000000" w:rsidDel="00000000" w:rsidP="00000000" w:rsidRDefault="00000000" w:rsidRPr="00000000" w14:paraId="0000006E">
      <w:pPr>
        <w:numPr>
          <w:ilvl w:val="0"/>
          <w:numId w:val="6"/>
        </w:numPr>
        <w:spacing w:after="0" w:afterAutospacing="0" w:before="0" w:beforeAutospacing="0" w:lineRule="auto"/>
        <w:ind w:left="720" w:hanging="360"/>
        <w:rPr>
          <w:sz w:val="20"/>
          <w:szCs w:val="20"/>
          <w:highlight w:val="red"/>
        </w:rPr>
      </w:pPr>
      <w:r w:rsidDel="00000000" w:rsidR="00000000" w:rsidRPr="00000000">
        <w:rPr>
          <w:sz w:val="20"/>
          <w:szCs w:val="20"/>
          <w:highlight w:val="red"/>
          <w:rtl w:val="0"/>
        </w:rPr>
        <w:t xml:space="preserve">On p. 34, the authors describe expected wages. If data on outside options exist, it may be more relevant to study surplus rather than wages (though this is minor).</w:t>
      </w:r>
    </w:p>
    <w:p w:rsidR="00000000" w:rsidDel="00000000" w:rsidP="00000000" w:rsidRDefault="00000000" w:rsidRPr="00000000" w14:paraId="0000006F">
      <w:pPr>
        <w:numPr>
          <w:ilvl w:val="0"/>
          <w:numId w:val="6"/>
        </w:numPr>
        <w:spacing w:after="240" w:before="0" w:beforeAutospacing="0" w:lineRule="auto"/>
        <w:ind w:left="720" w:hanging="360"/>
        <w:rPr>
          <w:sz w:val="20"/>
          <w:szCs w:val="20"/>
        </w:rPr>
      </w:pPr>
      <w:r w:rsidDel="00000000" w:rsidR="00000000" w:rsidRPr="00000000">
        <w:rPr>
          <w:sz w:val="20"/>
          <w:szCs w:val="20"/>
          <w:rtl w:val="0"/>
        </w:rPr>
        <w:t xml:space="preserve">On p. 10 (“market entry”), clarify whether u’ is bounded or unbounded. Both statements seem to appear, and it is unclear whether this assumption is maintained throughout or only where needed.</w:t>
      </w:r>
    </w:p>
    <w:p w:rsidR="00000000" w:rsidDel="00000000" w:rsidP="00000000" w:rsidRDefault="00000000" w:rsidRPr="00000000" w14:paraId="00000070">
      <w:pPr>
        <w:rPr>
          <w:sz w:val="20"/>
          <w:szCs w:val="20"/>
        </w:rPr>
      </w:pPr>
      <w:r w:rsidDel="00000000" w:rsidR="00000000" w:rsidRPr="00000000">
        <w:rPr>
          <w:rtl w:val="0"/>
        </w:rPr>
      </w:r>
    </w:p>
    <w:p w:rsidR="00000000" w:rsidDel="00000000" w:rsidP="00000000" w:rsidRDefault="00000000" w:rsidRPr="00000000" w14:paraId="00000071">
      <w:pPr>
        <w:rPr>
          <w:sz w:val="20"/>
          <w:szCs w:val="20"/>
        </w:rPr>
      </w:pPr>
      <w:r w:rsidDel="00000000" w:rsidR="00000000" w:rsidRPr="00000000">
        <w:br w:type="page"/>
      </w:r>
      <w:r w:rsidDel="00000000" w:rsidR="00000000" w:rsidRPr="00000000">
        <w:rPr>
          <w:rtl w:val="0"/>
        </w:rPr>
      </w:r>
    </w:p>
    <w:p w:rsidR="00000000" w:rsidDel="00000000" w:rsidP="00000000" w:rsidRDefault="00000000" w:rsidRPr="00000000" w14:paraId="00000072">
      <w:pPr>
        <w:pStyle w:val="Heading1"/>
        <w:rPr>
          <w:sz w:val="38"/>
          <w:szCs w:val="38"/>
        </w:rPr>
      </w:pPr>
      <w:bookmarkStart w:colFirst="0" w:colLast="0" w:name="_fy09q6s0xv90" w:id="15"/>
      <w:bookmarkEnd w:id="15"/>
      <w:r w:rsidDel="00000000" w:rsidR="00000000" w:rsidRPr="00000000">
        <w:rPr>
          <w:sz w:val="38"/>
          <w:szCs w:val="38"/>
          <w:rtl w:val="0"/>
        </w:rPr>
        <w:t xml:space="preserve">R3 Report</w:t>
      </w:r>
    </w:p>
    <w:p w:rsidR="00000000" w:rsidDel="00000000" w:rsidP="00000000" w:rsidRDefault="00000000" w:rsidRPr="00000000" w14:paraId="00000073">
      <w:pPr>
        <w:spacing w:after="240" w:before="240" w:lineRule="auto"/>
        <w:rPr>
          <w:sz w:val="20"/>
          <w:szCs w:val="20"/>
        </w:rPr>
      </w:pPr>
      <w:r w:rsidDel="00000000" w:rsidR="00000000" w:rsidRPr="00000000">
        <w:rPr>
          <w:sz w:val="20"/>
          <w:szCs w:val="20"/>
          <w:rtl w:val="0"/>
        </w:rPr>
        <w:t xml:space="preserve">This is a great and ambitious paper. It is sufficiently transparent that I don’t feel the need to spend time summarizing it.</w:t>
      </w:r>
    </w:p>
    <w:p w:rsidR="00000000" w:rsidDel="00000000" w:rsidP="00000000" w:rsidRDefault="00000000" w:rsidRPr="00000000" w14:paraId="00000074">
      <w:pPr>
        <w:spacing w:after="240" w:before="240" w:lineRule="auto"/>
        <w:rPr>
          <w:sz w:val="20"/>
          <w:szCs w:val="20"/>
        </w:rPr>
      </w:pPr>
      <w:r w:rsidDel="00000000" w:rsidR="00000000" w:rsidRPr="00000000">
        <w:rPr>
          <w:sz w:val="20"/>
          <w:szCs w:val="20"/>
          <w:rtl w:val="0"/>
        </w:rPr>
        <w:t xml:space="preserve">I don’t have many comments; the paper is in great shape. However, I do have some notes on framing that I suspect stem from the fact that the literature has evolved somewhat since this paper was originally conceived (the experiment having been run, according to p.19, “from 2013-07-18 to 2013-12-05”).</w:t>
      </w:r>
    </w:p>
    <w:p w:rsidR="00000000" w:rsidDel="00000000" w:rsidP="00000000" w:rsidRDefault="00000000" w:rsidRPr="00000000" w14:paraId="00000075">
      <w:pPr>
        <w:pStyle w:val="Heading3"/>
        <w:keepNext w:val="0"/>
        <w:keepLines w:val="0"/>
        <w:spacing w:before="280" w:lineRule="auto"/>
        <w:rPr>
          <w:b w:val="1"/>
          <w:bCs w:val="1"/>
          <w:color w:val="000000"/>
          <w:sz w:val="24"/>
          <w:szCs w:val="24"/>
        </w:rPr>
      </w:pPr>
      <w:bookmarkStart w:colFirst="0" w:colLast="0" w:name="_27iiup2kpcqt" w:id="16"/>
      <w:bookmarkEnd w:id="16"/>
      <w:r w:rsidDel="00000000" w:rsidR="00000000" w:rsidRPr="00000000">
        <w:rPr>
          <w:b w:val="1"/>
          <w:bCs w:val="1"/>
          <w:color w:val="000000"/>
          <w:sz w:val="24"/>
          <w:szCs w:val="24"/>
          <w:rtl w:val="0"/>
        </w:rPr>
        <w:t xml:space="preserve">Specific Comments</w:t>
      </w:r>
    </w:p>
    <w:p w:rsidR="00000000" w:rsidDel="00000000" w:rsidP="00000000" w:rsidRDefault="00000000" w:rsidRPr="00000000" w14:paraId="00000076">
      <w:pPr>
        <w:numPr>
          <w:ilvl w:val="0"/>
          <w:numId w:val="3"/>
        </w:numPr>
        <w:spacing w:after="0" w:afterAutospacing="0" w:before="240" w:lineRule="auto"/>
        <w:ind w:left="720" w:hanging="360"/>
        <w:rPr>
          <w:sz w:val="20"/>
          <w:szCs w:val="20"/>
        </w:rPr>
      </w:pPr>
      <w:r w:rsidDel="00000000" w:rsidR="00000000" w:rsidRPr="00000000">
        <w:rPr>
          <w:b w:val="1"/>
          <w:bCs w:val="1"/>
          <w:sz w:val="20"/>
          <w:szCs w:val="20"/>
          <w:rtl w:val="0"/>
        </w:rPr>
        <w:t xml:space="preserve">p.6</w:t>
      </w:r>
      <w:r w:rsidDel="00000000" w:rsidR="00000000" w:rsidRPr="00000000">
        <w:rPr>
          <w:sz w:val="20"/>
          <w:szCs w:val="20"/>
          <w:rtl w:val="0"/>
        </w:rPr>
        <w:t xml:space="preserve"> – “Perhaps the closest related paper is Tadelis and Zettelmeyer (2015)…”</w:t>
        <w:br w:type="textWrapping"/>
        <w:t xml:space="preserve">I see the connection to Tadelis and Zettelmeyer (2015), although I think there is another Tadelis paper that is also closely related — his more recent paper in </w:t>
      </w:r>
      <w:r w:rsidDel="00000000" w:rsidR="00000000" w:rsidRPr="00000000">
        <w:rPr>
          <w:i w:val="1"/>
          <w:iCs w:val="1"/>
          <w:sz w:val="20"/>
          <w:szCs w:val="20"/>
          <w:rtl w:val="0"/>
        </w:rPr>
        <w:t xml:space="preserve">JPE</w:t>
      </w:r>
      <w:r w:rsidDel="00000000" w:rsidR="00000000" w:rsidRPr="00000000">
        <w:rPr>
          <w:sz w:val="20"/>
          <w:szCs w:val="20"/>
          <w:rtl w:val="0"/>
        </w:rPr>
        <w:t xml:space="preserve"> (Backus et al., 2019).</w:t>
      </w:r>
    </w:p>
    <w:p w:rsidR="00000000" w:rsidDel="00000000" w:rsidP="00000000" w:rsidRDefault="00000000" w:rsidRPr="00000000" w14:paraId="00000077">
      <w:pPr>
        <w:numPr>
          <w:ilvl w:val="1"/>
          <w:numId w:val="3"/>
        </w:numPr>
        <w:spacing w:after="0" w:afterAutospacing="0" w:before="0" w:beforeAutospacing="0" w:lineRule="auto"/>
        <w:ind w:left="1440" w:hanging="360"/>
        <w:rPr>
          <w:sz w:val="20"/>
          <w:szCs w:val="20"/>
        </w:rPr>
      </w:pPr>
      <w:r w:rsidDel="00000000" w:rsidR="00000000" w:rsidRPr="00000000">
        <w:rPr>
          <w:sz w:val="20"/>
          <w:szCs w:val="20"/>
          <w:rtl w:val="0"/>
        </w:rPr>
        <w:t xml:space="preserve">Tadelis and Zettelmeyer (2015) get improved match value first through the linkage principle, and then, motivated by the empirical findings, through additional entry. Note that the linkage principle is not incentive compatible; low types would prefer not to reveal their type, but they end up doing better through additional entry.</w:t>
      </w:r>
    </w:p>
    <w:p w:rsidR="00000000" w:rsidDel="00000000" w:rsidP="00000000" w:rsidRDefault="00000000" w:rsidRPr="00000000" w14:paraId="00000078">
      <w:pPr>
        <w:numPr>
          <w:ilvl w:val="1"/>
          <w:numId w:val="3"/>
        </w:numPr>
        <w:spacing w:after="0" w:afterAutospacing="0" w:before="0" w:beforeAutospacing="0" w:lineRule="auto"/>
        <w:ind w:left="1440" w:hanging="360"/>
        <w:rPr>
          <w:sz w:val="20"/>
          <w:szCs w:val="20"/>
        </w:rPr>
      </w:pPr>
      <w:r w:rsidDel="00000000" w:rsidR="00000000" w:rsidRPr="00000000">
        <w:rPr>
          <w:sz w:val="20"/>
          <w:szCs w:val="20"/>
          <w:rtl w:val="0"/>
        </w:rPr>
        <w:t xml:space="preserve">Backus, Blake, and Tadelis (2019) do not emphasize improved match value, but they do, like this paper, obtain incentive-compatible cheap talk and endogenous matching. Perhaps more helpfully for the empirical parts of this paper, they set out a framework for thinking about the empirical content of such equilibria, much of which is implicitly re-invented here. My main suggestion for improving this paper would be connecting it to that literature by outlining how the empirical evidence comports with the framework advanced there.</w:t>
      </w:r>
    </w:p>
    <w:p w:rsidR="00000000" w:rsidDel="00000000" w:rsidP="00000000" w:rsidRDefault="00000000" w:rsidRPr="00000000" w14:paraId="00000079">
      <w:pPr>
        <w:numPr>
          <w:ilvl w:val="0"/>
          <w:numId w:val="3"/>
        </w:numPr>
        <w:spacing w:after="0" w:afterAutospacing="0" w:before="0" w:beforeAutospacing="0" w:lineRule="auto"/>
        <w:ind w:left="720" w:hanging="360"/>
        <w:rPr>
          <w:sz w:val="20"/>
          <w:szCs w:val="20"/>
          <w:highlight w:val="red"/>
        </w:rPr>
      </w:pPr>
      <w:r w:rsidDel="00000000" w:rsidR="00000000" w:rsidRPr="00000000">
        <w:rPr>
          <w:b w:val="1"/>
          <w:bCs w:val="1"/>
          <w:sz w:val="20"/>
          <w:szCs w:val="20"/>
          <w:highlight w:val="red"/>
          <w:rtl w:val="0"/>
        </w:rPr>
        <w:t xml:space="preserve">p.18</w:t>
      </w:r>
      <w:r w:rsidDel="00000000" w:rsidR="00000000" w:rsidRPr="00000000">
        <w:rPr>
          <w:sz w:val="20"/>
          <w:szCs w:val="20"/>
          <w:highlight w:val="red"/>
          <w:rtl w:val="0"/>
        </w:rPr>
        <w:t xml:space="preserve"> – “The marketplace we study is not the only market for online work, and so it is important to keep in mind the ‘market’ versus ‘marketplace’ distinction made by Roth (2018).”</w:t>
        <w:br w:type="textWrapping"/>
        <w:t xml:space="preserve">Please spell this out more clearly.</w:t>
      </w:r>
    </w:p>
    <w:p w:rsidR="00000000" w:rsidDel="00000000" w:rsidP="00000000" w:rsidRDefault="00000000" w:rsidRPr="00000000" w14:paraId="0000007A">
      <w:pPr>
        <w:numPr>
          <w:ilvl w:val="0"/>
          <w:numId w:val="3"/>
        </w:numPr>
        <w:spacing w:after="0" w:afterAutospacing="0" w:before="0" w:beforeAutospacing="0" w:lineRule="auto"/>
        <w:ind w:left="720" w:hanging="360"/>
        <w:rPr>
          <w:sz w:val="20"/>
          <w:szCs w:val="20"/>
          <w:highlight w:val="red"/>
        </w:rPr>
      </w:pPr>
      <w:r w:rsidDel="00000000" w:rsidR="00000000" w:rsidRPr="00000000">
        <w:rPr>
          <w:b w:val="1"/>
          <w:bCs w:val="1"/>
          <w:sz w:val="20"/>
          <w:szCs w:val="20"/>
          <w:highlight w:val="red"/>
          <w:rtl w:val="0"/>
        </w:rPr>
        <w:t xml:space="preserve">p.19</w:t>
      </w:r>
      <w:r w:rsidDel="00000000" w:rsidR="00000000" w:rsidRPr="00000000">
        <w:rPr>
          <w:sz w:val="20"/>
          <w:szCs w:val="20"/>
          <w:highlight w:val="red"/>
          <w:rtl w:val="0"/>
        </w:rPr>
        <w:t xml:space="preserve"> – “In this arm, employees were then randomized to have their choice revealed or not.”</w:t>
        <w:br w:type="textWrapping"/>
        <w:t xml:space="preserve">I think of this as akin to the garbling device discussed in Backus et al. (2019), and the first, best example I know of using this to study signaling is Ambrus et al. (2018).</w:t>
      </w:r>
    </w:p>
    <w:p w:rsidR="00000000" w:rsidDel="00000000" w:rsidP="00000000" w:rsidRDefault="00000000" w:rsidRPr="00000000" w14:paraId="0000007B">
      <w:pPr>
        <w:numPr>
          <w:ilvl w:val="0"/>
          <w:numId w:val="3"/>
        </w:numPr>
        <w:spacing w:after="0" w:afterAutospacing="0" w:before="0" w:beforeAutospacing="0" w:lineRule="auto"/>
        <w:ind w:left="720" w:hanging="360"/>
        <w:rPr>
          <w:sz w:val="20"/>
          <w:szCs w:val="20"/>
        </w:rPr>
      </w:pPr>
      <w:r w:rsidDel="00000000" w:rsidR="00000000" w:rsidRPr="00000000">
        <w:rPr>
          <w:b w:val="1"/>
          <w:bCs w:val="1"/>
          <w:sz w:val="20"/>
          <w:szCs w:val="20"/>
          <w:rtl w:val="0"/>
        </w:rPr>
        <w:t xml:space="preserve">Section V.A:</w:t>
        <w:br w:type="textWrapping"/>
      </w:r>
      <w:r w:rsidDel="00000000" w:rsidR="00000000" w:rsidRPr="00000000">
        <w:rPr>
          <w:sz w:val="20"/>
          <w:szCs w:val="20"/>
          <w:rtl w:val="0"/>
        </w:rPr>
        <w:t xml:space="preserve">I did not find these results surprising.</w:t>
      </w:r>
    </w:p>
    <w:p w:rsidR="00000000" w:rsidDel="00000000" w:rsidP="00000000" w:rsidRDefault="00000000" w:rsidRPr="00000000" w14:paraId="0000007C">
      <w:pPr>
        <w:numPr>
          <w:ilvl w:val="0"/>
          <w:numId w:val="3"/>
        </w:numPr>
        <w:spacing w:after="240" w:before="0" w:beforeAutospacing="0" w:lineRule="auto"/>
        <w:ind w:left="720" w:hanging="360"/>
        <w:rPr>
          <w:sz w:val="20"/>
          <w:szCs w:val="20"/>
          <w:highlight w:val="red"/>
        </w:rPr>
      </w:pPr>
      <w:r w:rsidDel="00000000" w:rsidR="00000000" w:rsidRPr="00000000">
        <w:rPr>
          <w:sz w:val="20"/>
          <w:szCs w:val="20"/>
          <w:highlight w:val="red"/>
          <w:rtl w:val="0"/>
        </w:rPr>
        <w:t xml:space="preserve">I have emphasized to the editor that the following is a </w:t>
      </w:r>
      <w:r w:rsidDel="00000000" w:rsidR="00000000" w:rsidRPr="00000000">
        <w:rPr>
          <w:b w:val="1"/>
          <w:bCs w:val="1"/>
          <w:sz w:val="20"/>
          <w:szCs w:val="20"/>
          <w:highlight w:val="red"/>
          <w:rtl w:val="0"/>
        </w:rPr>
        <w:t xml:space="preserve">suggestion for future work</w:t>
      </w:r>
      <w:r w:rsidDel="00000000" w:rsidR="00000000" w:rsidRPr="00000000">
        <w:rPr>
          <w:sz w:val="20"/>
          <w:szCs w:val="20"/>
          <w:highlight w:val="red"/>
          <w:rtl w:val="0"/>
        </w:rPr>
        <w:t xml:space="preserve">, and I would actively oppose requiring it for a revision. But I think there is a natural next paper here: to think about the optimal design of such a sorting mechanism.</w:t>
        <w:br w:type="textWrapping"/>
        <w:t xml:space="preserve">I have written next to Section V.C: “This is great, but the kind of thing I would only care about if the authors were going to do the structural exercise…” That is to say, I think you should keep it in, but keep it as a signpost for someone else—or yourselves—to take up next time and think about estimating structural primitives in order to engage in the market design exercise.</w:t>
      </w:r>
    </w:p>
    <w:p w:rsidR="00000000" w:rsidDel="00000000" w:rsidP="00000000" w:rsidRDefault="00000000" w:rsidRPr="00000000" w14:paraId="0000007D">
      <w:pPr>
        <w:pStyle w:val="Heading3"/>
        <w:keepNext w:val="0"/>
        <w:keepLines w:val="0"/>
        <w:spacing w:before="280" w:lineRule="auto"/>
        <w:rPr>
          <w:b w:val="1"/>
          <w:bCs w:val="1"/>
          <w:color w:val="000000"/>
          <w:sz w:val="24"/>
          <w:szCs w:val="24"/>
        </w:rPr>
      </w:pPr>
      <w:bookmarkStart w:colFirst="0" w:colLast="0" w:name="_mpfb52kcby3z" w:id="17"/>
      <w:bookmarkEnd w:id="17"/>
      <w:r w:rsidDel="00000000" w:rsidR="00000000" w:rsidRPr="00000000">
        <w:rPr>
          <w:b w:val="1"/>
          <w:bCs w:val="1"/>
          <w:color w:val="000000"/>
          <w:sz w:val="24"/>
          <w:szCs w:val="24"/>
          <w:rtl w:val="0"/>
        </w:rPr>
        <w:t xml:space="preserve">References</w:t>
      </w:r>
    </w:p>
    <w:p w:rsidR="00000000" w:rsidDel="00000000" w:rsidP="00000000" w:rsidRDefault="00000000" w:rsidRPr="00000000" w14:paraId="0000007E">
      <w:pPr>
        <w:spacing w:after="240" w:before="240" w:lineRule="auto"/>
        <w:rPr>
          <w:sz w:val="20"/>
          <w:szCs w:val="20"/>
        </w:rPr>
      </w:pPr>
      <w:r w:rsidDel="00000000" w:rsidR="00000000" w:rsidRPr="00000000">
        <w:rPr>
          <w:sz w:val="20"/>
          <w:szCs w:val="20"/>
          <w:rtl w:val="0"/>
        </w:rPr>
        <w:t xml:space="preserve">Ambrus, A., Chaney, E., and Salitskiy, I. (2018). </w:t>
      </w:r>
      <w:r w:rsidDel="00000000" w:rsidR="00000000" w:rsidRPr="00000000">
        <w:rPr>
          <w:i w:val="1"/>
          <w:iCs w:val="1"/>
          <w:sz w:val="20"/>
          <w:szCs w:val="20"/>
          <w:rtl w:val="0"/>
        </w:rPr>
        <w:t xml:space="preserve">Pirates of the Mediterranean: An Empirical Investigation of Bargaining with Asymmetric Information.</w:t>
      </w:r>
      <w:r w:rsidDel="00000000" w:rsidR="00000000" w:rsidRPr="00000000">
        <w:rPr>
          <w:sz w:val="20"/>
          <w:szCs w:val="20"/>
          <w:rtl w:val="0"/>
        </w:rPr>
        <w:t xml:space="preserve"> </w:t>
      </w:r>
      <w:r w:rsidDel="00000000" w:rsidR="00000000" w:rsidRPr="00000000">
        <w:rPr>
          <w:b w:val="1"/>
          <w:bCs w:val="1"/>
          <w:sz w:val="20"/>
          <w:szCs w:val="20"/>
          <w:rtl w:val="0"/>
        </w:rPr>
        <w:t xml:space="preserve">Quantitative Economics</w:t>
      </w:r>
      <w:r w:rsidDel="00000000" w:rsidR="00000000" w:rsidRPr="00000000">
        <w:rPr>
          <w:sz w:val="20"/>
          <w:szCs w:val="20"/>
          <w:rtl w:val="0"/>
        </w:rPr>
        <w:t xml:space="preserve">, 9(1):217–246.</w:t>
      </w:r>
    </w:p>
    <w:p w:rsidR="00000000" w:rsidDel="00000000" w:rsidP="00000000" w:rsidRDefault="00000000" w:rsidRPr="00000000" w14:paraId="0000007F">
      <w:pPr>
        <w:spacing w:after="240" w:before="240" w:lineRule="auto"/>
        <w:rPr>
          <w:sz w:val="20"/>
          <w:szCs w:val="20"/>
        </w:rPr>
      </w:pPr>
      <w:r w:rsidDel="00000000" w:rsidR="00000000" w:rsidRPr="00000000">
        <w:rPr>
          <w:sz w:val="20"/>
          <w:szCs w:val="20"/>
          <w:rtl w:val="0"/>
        </w:rPr>
        <w:t xml:space="preserve">Backus, M., Blake, T., and Tadelis, S. (2019). </w:t>
      </w:r>
      <w:r w:rsidDel="00000000" w:rsidR="00000000" w:rsidRPr="00000000">
        <w:rPr>
          <w:i w:val="1"/>
          <w:iCs w:val="1"/>
          <w:sz w:val="20"/>
          <w:szCs w:val="20"/>
          <w:rtl w:val="0"/>
        </w:rPr>
        <w:t xml:space="preserve">On the Empirical Content of Cheap-Talk Signaling: An Application to Bargaining.</w:t>
      </w:r>
      <w:r w:rsidDel="00000000" w:rsidR="00000000" w:rsidRPr="00000000">
        <w:rPr>
          <w:sz w:val="20"/>
          <w:szCs w:val="20"/>
          <w:rtl w:val="0"/>
        </w:rPr>
        <w:t xml:space="preserve"> </w:t>
      </w:r>
      <w:r w:rsidDel="00000000" w:rsidR="00000000" w:rsidRPr="00000000">
        <w:rPr>
          <w:b w:val="1"/>
          <w:bCs w:val="1"/>
          <w:sz w:val="20"/>
          <w:szCs w:val="20"/>
          <w:rtl w:val="0"/>
        </w:rPr>
        <w:t xml:space="preserve">Journal of Political Economy</w:t>
      </w:r>
      <w:r w:rsidDel="00000000" w:rsidR="00000000" w:rsidRPr="00000000">
        <w:rPr>
          <w:sz w:val="20"/>
          <w:szCs w:val="20"/>
          <w:rtl w:val="0"/>
        </w:rPr>
        <w:t xml:space="preserve">, 127(4):1599–1628.</w:t>
      </w:r>
    </w:p>
    <w:p w:rsidR="00000000" w:rsidDel="00000000" w:rsidP="00000000" w:rsidRDefault="00000000" w:rsidRPr="00000000" w14:paraId="00000080">
      <w:pPr>
        <w:spacing w:after="240" w:before="240" w:lineRule="auto"/>
        <w:rPr>
          <w:sz w:val="20"/>
          <w:szCs w:val="20"/>
        </w:rPr>
      </w:pPr>
      <w:r w:rsidDel="00000000" w:rsidR="00000000" w:rsidRPr="00000000">
        <w:rPr>
          <w:sz w:val="20"/>
          <w:szCs w:val="20"/>
          <w:rtl w:val="0"/>
        </w:rPr>
        <w:t xml:space="preserve">Tadelis, S. and Zettelmeyer, F. (2015). </w:t>
      </w:r>
      <w:r w:rsidDel="00000000" w:rsidR="00000000" w:rsidRPr="00000000">
        <w:rPr>
          <w:i w:val="1"/>
          <w:iCs w:val="1"/>
          <w:sz w:val="20"/>
          <w:szCs w:val="20"/>
          <w:rtl w:val="0"/>
        </w:rPr>
        <w:t xml:space="preserve">Information Disclosure as a Matching Mechanism: Theory and Evidence from a Field Experiment.</w:t>
      </w:r>
      <w:r w:rsidDel="00000000" w:rsidR="00000000" w:rsidRPr="00000000">
        <w:rPr>
          <w:sz w:val="20"/>
          <w:szCs w:val="20"/>
          <w:rtl w:val="0"/>
        </w:rPr>
        <w:t xml:space="preserve"> </w:t>
      </w:r>
      <w:r w:rsidDel="00000000" w:rsidR="00000000" w:rsidRPr="00000000">
        <w:rPr>
          <w:b w:val="1"/>
          <w:bCs w:val="1"/>
          <w:sz w:val="20"/>
          <w:szCs w:val="20"/>
          <w:rtl w:val="0"/>
        </w:rPr>
        <w:t xml:space="preserve">American Economic Review</w:t>
      </w:r>
      <w:r w:rsidDel="00000000" w:rsidR="00000000" w:rsidRPr="00000000">
        <w:rPr>
          <w:sz w:val="20"/>
          <w:szCs w:val="20"/>
          <w:rtl w:val="0"/>
        </w:rPr>
        <w:t xml:space="preserve">, 105(2):886–905.</w:t>
      </w:r>
    </w:p>
    <w:p w:rsidR="00000000" w:rsidDel="00000000" w:rsidP="00000000" w:rsidRDefault="00000000" w:rsidRPr="00000000" w14:paraId="00000081">
      <w:pPr>
        <w:rPr>
          <w:sz w:val="20"/>
          <w:szCs w:val="20"/>
        </w:rPr>
      </w:pPr>
      <w:r w:rsidDel="00000000" w:rsidR="00000000" w:rsidRPr="00000000">
        <w:rPr>
          <w:rtl w:val="0"/>
        </w:rPr>
      </w:r>
    </w:p>
    <w:p w:rsidR="00000000" w:rsidDel="00000000" w:rsidP="00000000" w:rsidRDefault="00000000" w:rsidRPr="00000000" w14:paraId="00000082">
      <w:pPr>
        <w:rPr>
          <w:sz w:val="20"/>
          <w:szCs w:val="20"/>
        </w:rPr>
      </w:pPr>
      <w:r w:rsidDel="00000000" w:rsidR="00000000" w:rsidRPr="00000000">
        <w:rPr>
          <w:rtl w:val="0"/>
        </w:rPr>
      </w:r>
    </w:p>
    <w:p w:rsidR="00000000" w:rsidDel="00000000" w:rsidP="00000000" w:rsidRDefault="00000000" w:rsidRPr="00000000" w14:paraId="00000083">
      <w:pPr>
        <w:rPr>
          <w:sz w:val="20"/>
          <w:szCs w:val="20"/>
        </w:rPr>
      </w:pPr>
      <w:r w:rsidDel="00000000" w:rsidR="00000000" w:rsidRPr="00000000">
        <w:rPr>
          <w:rtl w:val="0"/>
        </w:rPr>
      </w:r>
    </w:p>
    <w:p w:rsidR="00000000" w:rsidDel="00000000" w:rsidP="00000000" w:rsidRDefault="00000000" w:rsidRPr="00000000" w14:paraId="00000084">
      <w:pPr>
        <w:rPr>
          <w:sz w:val="20"/>
          <w:szCs w:val="20"/>
        </w:rPr>
      </w:pPr>
      <w:r w:rsidDel="00000000" w:rsidR="00000000" w:rsidRPr="00000000">
        <w:rPr>
          <w:rtl w:val="0"/>
        </w:rPr>
      </w:r>
    </w:p>
    <w:p w:rsidR="00000000" w:rsidDel="00000000" w:rsidP="00000000" w:rsidRDefault="00000000" w:rsidRPr="00000000" w14:paraId="00000085">
      <w:pPr>
        <w:rPr>
          <w:sz w:val="20"/>
          <w:szCs w:val="20"/>
        </w:rPr>
      </w:pPr>
      <w:r w:rsidDel="00000000" w:rsidR="00000000" w:rsidRPr="00000000">
        <w:rPr>
          <w:rtl w:val="0"/>
        </w:rPr>
      </w:r>
    </w:p>
    <w:p w:rsidR="00000000" w:rsidDel="00000000" w:rsidP="00000000" w:rsidRDefault="00000000" w:rsidRPr="00000000" w14:paraId="00000086">
      <w:pPr>
        <w:rPr>
          <w:sz w:val="20"/>
          <w:szCs w:val="20"/>
        </w:rPr>
      </w:pPr>
      <w:r w:rsidDel="00000000" w:rsidR="00000000" w:rsidRPr="00000000">
        <w:rPr>
          <w:rtl w:val="0"/>
        </w:rPr>
      </w:r>
    </w:p>
    <w:p w:rsidR="00000000" w:rsidDel="00000000" w:rsidP="00000000" w:rsidRDefault="00000000" w:rsidRPr="00000000" w14:paraId="00000087">
      <w:pPr>
        <w:rPr>
          <w:sz w:val="20"/>
          <w:szCs w:val="20"/>
        </w:rPr>
      </w:pPr>
      <w:r w:rsidDel="00000000" w:rsidR="00000000" w:rsidRPr="00000000">
        <w:rPr>
          <w:rtl w:val="0"/>
        </w:rPr>
      </w:r>
    </w:p>
    <w:p w:rsidR="00000000" w:rsidDel="00000000" w:rsidP="00000000" w:rsidRDefault="00000000" w:rsidRPr="00000000" w14:paraId="00000088">
      <w:pPr>
        <w:rPr>
          <w:sz w:val="20"/>
          <w:szCs w:val="20"/>
        </w:rPr>
      </w:pPr>
      <w:r w:rsidDel="00000000" w:rsidR="00000000" w:rsidRPr="00000000">
        <w:rPr>
          <w:rtl w:val="0"/>
        </w:rPr>
      </w:r>
    </w:p>
    <w:p w:rsidR="00000000" w:rsidDel="00000000" w:rsidP="00000000" w:rsidRDefault="00000000" w:rsidRPr="00000000" w14:paraId="00000089">
      <w:pPr>
        <w:rPr>
          <w:sz w:val="20"/>
          <w:szCs w:val="20"/>
        </w:rPr>
      </w:pPr>
      <w:r w:rsidDel="00000000" w:rsidR="00000000" w:rsidRPr="00000000">
        <w:rPr>
          <w:rtl w:val="0"/>
        </w:rPr>
      </w:r>
    </w:p>
    <w:p w:rsidR="00000000" w:rsidDel="00000000" w:rsidP="00000000" w:rsidRDefault="00000000" w:rsidRPr="00000000" w14:paraId="0000008A">
      <w:pPr>
        <w:rPr>
          <w:sz w:val="20"/>
          <w:szCs w:val="20"/>
        </w:rPr>
      </w:pPr>
      <w:r w:rsidDel="00000000" w:rsidR="00000000" w:rsidRPr="00000000">
        <w:rPr>
          <w:rtl w:val="0"/>
        </w:rPr>
      </w:r>
    </w:p>
    <w:p w:rsidR="00000000" w:rsidDel="00000000" w:rsidP="00000000" w:rsidRDefault="00000000" w:rsidRPr="00000000" w14:paraId="0000008B">
      <w:pPr>
        <w:rPr>
          <w:sz w:val="20"/>
          <w:szCs w:val="20"/>
        </w:rPr>
      </w:pPr>
      <w:r w:rsidDel="00000000" w:rsidR="00000000" w:rsidRPr="00000000">
        <w:rPr>
          <w:rtl w:val="0"/>
        </w:rPr>
      </w:r>
    </w:p>
    <w:p w:rsidR="00000000" w:rsidDel="00000000" w:rsidP="00000000" w:rsidRDefault="00000000" w:rsidRPr="00000000" w14:paraId="0000008C">
      <w:pPr>
        <w:rPr>
          <w:sz w:val="20"/>
          <w:szCs w:val="20"/>
        </w:rPr>
      </w:pPr>
      <w:r w:rsidDel="00000000" w:rsidR="00000000" w:rsidRPr="00000000">
        <w:rPr>
          <w:rtl w:val="0"/>
        </w:rPr>
      </w:r>
    </w:p>
    <w:p w:rsidR="00000000" w:rsidDel="00000000" w:rsidP="00000000" w:rsidRDefault="00000000" w:rsidRPr="00000000" w14:paraId="0000008D">
      <w:pPr>
        <w:rPr>
          <w:sz w:val="20"/>
          <w:szCs w:val="20"/>
        </w:rPr>
      </w:pPr>
      <w:r w:rsidDel="00000000" w:rsidR="00000000" w:rsidRPr="00000000">
        <w:rPr>
          <w:rtl w:val="0"/>
        </w:rPr>
      </w:r>
    </w:p>
    <w:p w:rsidR="00000000" w:rsidDel="00000000" w:rsidP="00000000" w:rsidRDefault="00000000" w:rsidRPr="00000000" w14:paraId="0000008E">
      <w:pPr>
        <w:rPr>
          <w:sz w:val="20"/>
          <w:szCs w:val="20"/>
        </w:rPr>
      </w:pPr>
      <w:r w:rsidDel="00000000" w:rsidR="00000000" w:rsidRPr="00000000">
        <w:rPr>
          <w:rtl w:val="0"/>
        </w:rPr>
      </w:r>
    </w:p>
    <w:p w:rsidR="00000000" w:rsidDel="00000000" w:rsidP="00000000" w:rsidRDefault="00000000" w:rsidRPr="00000000" w14:paraId="0000008F">
      <w:pPr>
        <w:rPr>
          <w:sz w:val="20"/>
          <w:szCs w:val="20"/>
        </w:rPr>
      </w:pPr>
      <w:r w:rsidDel="00000000" w:rsidR="00000000" w:rsidRPr="00000000">
        <w:rPr>
          <w:sz w:val="20"/>
          <w:szCs w:val="20"/>
          <w:rtl w:val="0"/>
        </w:rPr>
        <w:t xml:space="preserve">Maybe move V.A. to Appendix?</w:t>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
    <w:lvl w:ilvl="0">
      <w:start w:val="3"/>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http://mc.manuscriptcentral.com/aej-micro" TargetMode="External"/><Relationship Id="rId7" Type="http://schemas.openxmlformats.org/officeDocument/2006/relationships/hyperlink" Target="https://www.aeaweb.org/aea_journals/AEA_Disclosure_Policy.pdf"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