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en-CA"/>
        </w:rPr>
        <w:t>Session 03          BUSA 7800 - Strategic Management       Chapter 03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Learning Outcomes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At the end of this session you should be able to: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Explain the purpose of value-chain analysis.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Compare the resource-based (RBV) view to the five forces model.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Differentiate between tangible resources, intangible resources and organizational capabilities.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Relate the competitive power of a resource to the four tests that it must pass.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b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Cs/>
          <w:sz w:val="26"/>
          <w:szCs w:val="26"/>
          <w:lang w:eastAsia="en-CA"/>
        </w:rPr>
        <w:t>Explain how financial ratios are used to evaluate a firm’s performance.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b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Cs/>
          <w:sz w:val="26"/>
          <w:szCs w:val="26"/>
          <w:lang w:eastAsia="en-CA"/>
        </w:rPr>
        <w:t>Describe the purpose of the balanced scorecard.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b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Cs/>
          <w:sz w:val="26"/>
          <w:szCs w:val="26"/>
          <w:lang w:eastAsia="en-CA"/>
        </w:rPr>
        <w:t>Relate SWOT analysis to a firm’s strategy.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en-CA"/>
        </w:rPr>
        <w:t>Chapter 3 - Analysing the Internal Environment of the Firm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6"/>
          <w:szCs w:val="26"/>
          <w:u w:val="single"/>
          <w:lang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u w:val="single"/>
          <w:lang w:eastAsia="en-CA"/>
        </w:rPr>
        <w:t>I. Introduction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Why should you analyze the internal environment of the firm?</w:t>
        <w:br/>
        <w:br/>
        <w:t xml:space="preserve">Why should you assess your resources and put them on a database? 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Resources are scarce, never have as much as you would like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To make the most out of what you have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u w:val="single"/>
          <w:lang w:eastAsia="en-CA"/>
        </w:rPr>
        <w:t>II. Value-Chain Analysis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is a company's value chain? (Exhibit 3.1)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A value chain chart the path by which products are created and then sold to customer</w:t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Value chains contain both primary activities and support activities.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How do we know if an activity is a primary activity or a secondary activity?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Are actions that directly involved in creating &amp; distributing goods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Actions that provide important under lying support for primary activity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22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is the purpose of Value Chain Analysis (VCA)?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To identify where low cost advantages &amp; disadvantage exists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Why analyze the value chain system for an entire industry?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 xml:space="preserve">A firms </w:t>
      </w: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customers</w:t>
      </w: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 xml:space="preserve"> value proposition and cost competitiveness also depends on your suppliers value chain activities and your forward channel allies(wholesalers, retailers)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are the three main areas of a firm’s overall value chain where cost differences occur?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ab/>
      </w: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 xml:space="preserve">Activities performed by your </w:t>
      </w: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s</w:t>
      </w: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uppliers &amp; firm &amp; forward channel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u w:val="single"/>
          <w:lang w:eastAsia="en-CA"/>
        </w:rPr>
        <w:t>III. Resource-Based View (RBV) of the Firm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Where does the RBV locate the source of competitive advantage?</w:t>
      </w:r>
    </w:p>
    <w:p>
      <w:pPr>
        <w:pStyle w:val="Normal"/>
        <w:numPr>
          <w:ilvl w:val="0"/>
          <w:numId w:val="13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At the individual firm level based on your bundle of resources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22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does the RBV explain that the five forces model cannot?</w:t>
      </w:r>
    </w:p>
    <w:p>
      <w:pPr>
        <w:pStyle w:val="Normal"/>
        <w:numPr>
          <w:ilvl w:val="0"/>
          <w:numId w:val="14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This RBV can explain why firms, in the same industry, where some are making above avg profits while others are struggling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are the two assumptions of the RBV model?</w:t>
      </w:r>
    </w:p>
    <w:p>
      <w:pPr>
        <w:pStyle w:val="Normal"/>
        <w:numPr>
          <w:ilvl w:val="0"/>
          <w:numId w:val="15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Resources bundle are different for each firm</w:t>
      </w:r>
    </w:p>
    <w:p>
      <w:pPr>
        <w:pStyle w:val="Normal"/>
        <w:numPr>
          <w:ilvl w:val="0"/>
          <w:numId w:val="15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Resources immobility explains the persistence of resource differences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How does the resource-based view (RBV) define resources?</w:t>
      </w:r>
    </w:p>
    <w:p>
      <w:pPr>
        <w:pStyle w:val="Normal"/>
        <w:numPr>
          <w:ilvl w:val="0"/>
          <w:numId w:val="16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Tangible and intangible assets that firms use to produce and enhance output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are the three types of resources?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i/>
          <w:i/>
          <w:i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en-CA"/>
        </w:rPr>
        <w:t xml:space="preserve">Tangible 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i/>
          <w:i/>
          <w:i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en-CA"/>
        </w:rPr>
        <w:t>Intangible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i/>
          <w:i/>
          <w:i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en-CA"/>
        </w:rPr>
        <w:t>Organizational Capabilities</w:t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i/>
          <w:i/>
          <w:i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How do we know if a resource is tangible or intangible?</w:t>
      </w:r>
    </w:p>
    <w:p>
      <w:pPr>
        <w:pStyle w:val="Normal"/>
        <w:numPr>
          <w:ilvl w:val="0"/>
          <w:numId w:val="17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Tangible resources are assets that are easy to identify, measure &amp; value (3 year old company value)</w:t>
      </w:r>
    </w:p>
    <w:p>
      <w:pPr>
        <w:pStyle w:val="Normal"/>
        <w:numPr>
          <w:ilvl w:val="0"/>
          <w:numId w:val="17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Intangible assets that are harder to identify &amp; measure (because of these attributes they are often over looked)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 xml:space="preserve">What are some examples of </w:t>
      </w:r>
      <w:r>
        <w:rPr>
          <w:rFonts w:eastAsia="Times New Roman" w:cs="Times New Roman" w:ascii="Times New Roman" w:hAnsi="Times New Roman"/>
          <w:sz w:val="26"/>
          <w:szCs w:val="26"/>
          <w:u w:val="single"/>
          <w:lang w:eastAsia="en-CA"/>
        </w:rPr>
        <w:t>tangible resources</w:t>
      </w: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?</w:t>
      </w:r>
    </w:p>
    <w:p>
      <w:pPr>
        <w:pStyle w:val="Normal"/>
        <w:numPr>
          <w:ilvl w:val="0"/>
          <w:numId w:val="18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i w:val="false"/>
          <w:i w:val="false"/>
          <w:iCs w:val="false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sz w:val="26"/>
          <w:szCs w:val="26"/>
          <w:lang w:eastAsia="en-CA"/>
        </w:rPr>
        <w:t>Physical resources eg laptop, company's van</w:t>
      </w:r>
    </w:p>
    <w:p>
      <w:pPr>
        <w:pStyle w:val="Normal"/>
        <w:numPr>
          <w:ilvl w:val="0"/>
          <w:numId w:val="18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i w:val="false"/>
          <w:i w:val="false"/>
          <w:iCs w:val="false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sz w:val="26"/>
          <w:szCs w:val="26"/>
          <w:lang w:eastAsia="en-CA"/>
        </w:rPr>
        <w:t>Financial resources</w:t>
      </w:r>
    </w:p>
    <w:p>
      <w:pPr>
        <w:pStyle w:val="Normal"/>
        <w:numPr>
          <w:ilvl w:val="0"/>
          <w:numId w:val="18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i w:val="false"/>
          <w:i w:val="false"/>
          <w:iCs w:val="false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 w:val="false"/>
          <w:iCs w:val="false"/>
          <w:sz w:val="26"/>
          <w:szCs w:val="26"/>
          <w:lang w:eastAsia="en-CA"/>
        </w:rPr>
        <w:t>Technological assets</w:t>
      </w:r>
    </w:p>
    <w:p>
      <w:pPr>
        <w:pStyle w:val="Normal"/>
        <w:spacing w:lineRule="auto" w:line="240" w:before="0" w:after="0"/>
        <w:ind w:hanging="0"/>
        <w:textAlignment w:val="center"/>
        <w:rPr/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en-CA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 xml:space="preserve">What are some examples of </w:t>
      </w:r>
      <w:r>
        <w:rPr>
          <w:rFonts w:eastAsia="Times New Roman" w:cs="Times New Roman" w:ascii="Times New Roman" w:hAnsi="Times New Roman"/>
          <w:sz w:val="26"/>
          <w:szCs w:val="26"/>
          <w:u w:val="single"/>
          <w:lang w:eastAsia="en-CA"/>
        </w:rPr>
        <w:t>intangible assets</w:t>
      </w: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?</w:t>
      </w:r>
    </w:p>
    <w:p>
      <w:pPr>
        <w:pStyle w:val="Normal"/>
        <w:numPr>
          <w:ilvl w:val="0"/>
          <w:numId w:val="19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Human assets and intellectual capital</w:t>
      </w:r>
    </w:p>
    <w:p>
      <w:pPr>
        <w:pStyle w:val="Normal"/>
        <w:numPr>
          <w:ilvl w:val="0"/>
          <w:numId w:val="19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Brand, Image and reputation</w:t>
      </w:r>
    </w:p>
    <w:p>
      <w:pPr>
        <w:pStyle w:val="Normal"/>
        <w:numPr>
          <w:ilvl w:val="0"/>
          <w:numId w:val="19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Relationships w/ customers &amp; suppliers</w:t>
      </w:r>
    </w:p>
    <w:p>
      <w:pPr>
        <w:pStyle w:val="Normal"/>
        <w:numPr>
          <w:ilvl w:val="0"/>
          <w:numId w:val="19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Companies culture</w:t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Why do sustainable competitive advantages rarely come from tangible resources?</w:t>
      </w:r>
    </w:p>
    <w:p>
      <w:pPr>
        <w:pStyle w:val="Normal"/>
        <w:numPr>
          <w:ilvl w:val="0"/>
          <w:numId w:val="20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The advantages from tangible resources don’t last, copied and imitated by others</w:t>
      </w:r>
    </w:p>
    <w:p>
      <w:pPr>
        <w:pStyle w:val="Normal"/>
        <w:numPr>
          <w:ilvl w:val="1"/>
          <w:numId w:val="20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southwest airline all aspects of their business model have been copied except for their culture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 xml:space="preserve">What are </w:t>
      </w:r>
      <w:r>
        <w:rPr>
          <w:rFonts w:eastAsia="Times New Roman" w:cs="Times New Roman" w:ascii="Times New Roman" w:hAnsi="Times New Roman"/>
          <w:sz w:val="26"/>
          <w:szCs w:val="26"/>
          <w:u w:val="single"/>
          <w:lang w:eastAsia="en-CA"/>
        </w:rPr>
        <w:t>organizational capabilities?</w:t>
      </w:r>
    </w:p>
    <w:p>
      <w:pPr>
        <w:pStyle w:val="Normal"/>
        <w:numPr>
          <w:ilvl w:val="0"/>
          <w:numId w:val="21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The firm’s skill in using their resources to create goods &amp; services</w:t>
      </w:r>
    </w:p>
    <w:p>
      <w:pPr>
        <w:pStyle w:val="Normal"/>
        <w:numPr>
          <w:ilvl w:val="0"/>
          <w:numId w:val="21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A firm’s ability to exploit it’s resources</w:t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are some examples of organizational capabilities?</w:t>
      </w:r>
    </w:p>
    <w:p>
      <w:pPr>
        <w:pStyle w:val="Normal"/>
        <w:numPr>
          <w:ilvl w:val="0"/>
          <w:numId w:val="22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Learn manufacturing</w:t>
      </w:r>
    </w:p>
    <w:p>
      <w:pPr>
        <w:pStyle w:val="Normal"/>
        <w:numPr>
          <w:ilvl w:val="0"/>
          <w:numId w:val="22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flexibility in manufacturing processes</w:t>
      </w:r>
    </w:p>
    <w:p>
      <w:pPr>
        <w:pStyle w:val="Normal"/>
        <w:numPr>
          <w:ilvl w:val="0"/>
          <w:numId w:val="22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product development</w:t>
      </w:r>
    </w:p>
    <w:p>
      <w:pPr>
        <w:pStyle w:val="Normal"/>
        <w:numPr>
          <w:ilvl w:val="0"/>
          <w:numId w:val="22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innovation processes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u w:val="single"/>
          <w:lang w:eastAsia="en-CA"/>
        </w:rPr>
        <w:t>IV. Firm Resources and Sustainable Competitive Advantages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The competitive power of a resource is measured by how many of the following four tests it can pass.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i/>
          <w:i/>
          <w:i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en-CA"/>
        </w:rPr>
        <w:t>Is the resource really competitively valuable?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i/>
          <w:i/>
          <w:i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en-CA"/>
        </w:rPr>
        <w:t>Is the resource rare - is it something rivals lack?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i/>
          <w:i/>
          <w:i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en-CA"/>
        </w:rPr>
        <w:t>Is the resource hard to copy or imitate?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i/>
          <w:i/>
          <w:iCs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en-CA"/>
        </w:rPr>
        <w:t>Can the resource be trumped by substitute resources?</w:t>
      </w:r>
    </w:p>
    <w:p>
      <w:pPr>
        <w:pStyle w:val="Normal"/>
        <w:spacing w:lineRule="auto" w:line="240" w:before="0" w:after="0"/>
        <w:ind w:left="104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503" w:hanging="360"/>
        <w:textAlignment w:val="center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Is the resource really competitively valuable?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How do we know if a resource is competitively valuable?</w:t>
      </w:r>
    </w:p>
    <w:p>
      <w:pPr>
        <w:pStyle w:val="Normal"/>
        <w:numPr>
          <w:ilvl w:val="0"/>
          <w:numId w:val="23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If it has potential to contribute to a competitive advantage</w:t>
      </w:r>
    </w:p>
    <w:p>
      <w:pPr>
        <w:pStyle w:val="Normal"/>
        <w:spacing w:lineRule="auto" w:line="240" w:before="0" w:after="0"/>
        <w:ind w:left="104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503" w:hanging="36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Is the resource rare - Why must a resource be rare?</w:t>
      </w:r>
    </w:p>
    <w:p>
      <w:pPr>
        <w:pStyle w:val="Normal"/>
        <w:numPr>
          <w:ilvl w:val="0"/>
          <w:numId w:val="24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Hard for rivals to buy or develop</w:t>
      </w:r>
    </w:p>
    <w:p>
      <w:pPr>
        <w:pStyle w:val="Normal"/>
        <w:numPr>
          <w:ilvl w:val="0"/>
          <w:numId w:val="24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If a resource is common then your competitive advantage will not be sustainable</w:t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503" w:hanging="36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Is the resource hard to copy or imitate?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makes resources difficult to copy?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textAlignment w:val="center"/>
        <w:rPr/>
      </w:pPr>
      <w:r>
        <w:rPr>
          <w:rFonts w:eastAsia="Times New Roman" w:cs="Times New Roman" w:ascii="Times New Roman" w:hAnsi="Times New Roman"/>
          <w:i w:val="false"/>
          <w:iCs w:val="false"/>
          <w:sz w:val="26"/>
          <w:szCs w:val="26"/>
          <w:lang w:eastAsia="en-CA"/>
        </w:rPr>
        <w:t xml:space="preserve">Unique – </w:t>
      </w:r>
      <w:r>
        <w:rPr>
          <w:rFonts w:eastAsia="Times New Roman" w:cs="Times New Roman" w:ascii="Times New Roman" w:hAnsi="Times New Roman"/>
          <w:i w:val="false"/>
          <w:iCs w:val="false"/>
          <w:sz w:val="26"/>
          <w:szCs w:val="26"/>
          <w:lang w:eastAsia="en-CA"/>
        </w:rPr>
        <w:t>great location or patent protection</w:t>
      </w:r>
      <w:r>
        <w:rPr>
          <w:rFonts w:eastAsia="Times New Roman" w:cs="Times New Roman" w:ascii="Times New Roman" w:hAnsi="Times New Roman"/>
          <w:i w:val="false"/>
          <w:iCs w:val="false"/>
          <w:sz w:val="26"/>
          <w:szCs w:val="26"/>
          <w:lang w:eastAsia="en-CA"/>
        </w:rPr>
        <w:br/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textAlignment w:val="center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sz w:val="26"/>
          <w:szCs w:val="26"/>
          <w:lang w:eastAsia="en-CA"/>
        </w:rPr>
        <w:t xml:space="preserve">Path Dependency – </w:t>
      </w:r>
      <w:r>
        <w:rPr>
          <w:rFonts w:eastAsia="Times New Roman" w:cs="Times New Roman" w:ascii="Times New Roman" w:hAnsi="Times New Roman"/>
          <w:i w:val="false"/>
          <w:iCs w:val="false"/>
          <w:sz w:val="26"/>
          <w:szCs w:val="26"/>
          <w:lang w:eastAsia="en-CA"/>
        </w:rPr>
        <w:t>resources that must be built over time (reputation, trust &amp; loyalty of employees)</w:t>
      </w:r>
      <w:r>
        <w:rPr>
          <w:rFonts w:eastAsia="Times New Roman" w:cs="Times New Roman" w:ascii="Times New Roman" w:hAnsi="Times New Roman"/>
          <w:i w:val="false"/>
          <w:iCs w:val="false"/>
          <w:sz w:val="26"/>
          <w:szCs w:val="26"/>
          <w:lang w:eastAsia="en-CA"/>
        </w:rPr>
        <w:br/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textAlignment w:val="center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sz w:val="26"/>
          <w:szCs w:val="26"/>
          <w:lang w:eastAsia="en-CA"/>
        </w:rPr>
        <w:t xml:space="preserve">Causal Ambiguity – </w:t>
      </w:r>
      <w:r>
        <w:rPr>
          <w:rFonts w:eastAsia="Times New Roman" w:cs="Times New Roman" w:ascii="Times New Roman" w:hAnsi="Times New Roman"/>
          <w:i w:val="false"/>
          <w:iCs w:val="false"/>
          <w:sz w:val="26"/>
          <w:szCs w:val="26"/>
          <w:lang w:eastAsia="en-CA"/>
        </w:rPr>
        <w:t>difficult fir outsiders to figure out how you are able to have your competitive advantage</w:t>
      </w:r>
      <w:r>
        <w:rPr>
          <w:rFonts w:eastAsia="Times New Roman" w:cs="Times New Roman" w:ascii="Times New Roman" w:hAnsi="Times New Roman"/>
          <w:i w:val="false"/>
          <w:iCs w:val="false"/>
          <w:sz w:val="26"/>
          <w:szCs w:val="26"/>
          <w:lang w:eastAsia="en-CA"/>
        </w:rPr>
        <w:br/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textAlignment w:val="center"/>
        <w:rPr/>
      </w:pPr>
      <w:r>
        <w:rPr>
          <w:rFonts w:eastAsia="Times New Roman" w:cs="Times New Roman" w:ascii="Times New Roman" w:hAnsi="Times New Roman"/>
          <w:i w:val="false"/>
          <w:iCs w:val="false"/>
          <w:sz w:val="26"/>
          <w:szCs w:val="26"/>
          <w:lang w:eastAsia="en-CA"/>
        </w:rPr>
        <w:t xml:space="preserve">Social Complexity – </w:t>
      </w:r>
      <w:r>
        <w:rPr>
          <w:rFonts w:eastAsia="Times New Roman" w:cs="Times New Roman" w:ascii="Times New Roman" w:hAnsi="Times New Roman"/>
          <w:i w:val="false"/>
          <w:iCs w:val="false"/>
          <w:sz w:val="26"/>
          <w:szCs w:val="26"/>
          <w:lang w:eastAsia="en-CA"/>
        </w:rPr>
        <w:t>interpersonal relationships between managers of the firm, it’s culture, or reputation w/ customers</w:t>
      </w: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ab/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ListParagraph"/>
        <w:numPr>
          <w:ilvl w:val="1"/>
          <w:numId w:val="2"/>
        </w:numPr>
        <w:tabs>
          <w:tab w:val="left" w:pos="567" w:leader="none"/>
        </w:tabs>
        <w:spacing w:lineRule="auto" w:line="240" w:before="0" w:after="0"/>
        <w:ind w:left="567" w:hanging="360"/>
        <w:contextualSpacing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Can the resource be trumped by substitute resources?</w:t>
      </w:r>
    </w:p>
    <w:p>
      <w:pPr>
        <w:pStyle w:val="Normal"/>
        <w:spacing w:lineRule="auto" w:line="240" w:before="0" w:after="0"/>
        <w:ind w:left="503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How can a rival compete with another that has a large automated factory?</w:t>
      </w:r>
    </w:p>
    <w:p>
      <w:pPr>
        <w:pStyle w:val="Normal"/>
        <w:numPr>
          <w:ilvl w:val="0"/>
          <w:numId w:val="25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Using a labour intensive production method in a low wage country</w:t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6"/>
          <w:szCs w:val="26"/>
          <w:u w:val="single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u w:val="single"/>
          <w:lang w:eastAsia="en-CA"/>
        </w:rPr>
        <w:t>V. Evaluating Firm Performance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Two Approaches are used to evaluate a firm's performance</w:t>
      </w:r>
    </w:p>
    <w:p>
      <w:pPr>
        <w:pStyle w:val="Normal"/>
        <w:numPr>
          <w:ilvl w:val="0"/>
          <w:numId w:val="27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Financial Ratio Analysis</w:t>
      </w:r>
    </w:p>
    <w:p>
      <w:pPr>
        <w:pStyle w:val="Normal"/>
        <w:numPr>
          <w:ilvl w:val="0"/>
          <w:numId w:val="27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Broader stakeholder Perspective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en-CA"/>
        </w:rPr>
        <w:t>A. Financial Ratio Analysis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 w:val="false"/>
          <w:i w:val="false"/>
          <w:iCs w:val="false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are some financial ratios that will show the financial position of the firm?</w:t>
      </w:r>
    </w:p>
    <w:p>
      <w:pPr>
        <w:pStyle w:val="Normal"/>
        <w:numPr>
          <w:ilvl w:val="0"/>
          <w:numId w:val="26"/>
        </w:numPr>
        <w:spacing w:lineRule="auto" w:line="240" w:before="0" w:after="0"/>
        <w:textAlignment w:val="center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sz w:val="26"/>
          <w:szCs w:val="26"/>
          <w:lang w:eastAsia="en-CA"/>
        </w:rPr>
        <w:t xml:space="preserve">Liquidity Ratios – </w:t>
      </w:r>
      <w:r>
        <w:rPr>
          <w:rFonts w:eastAsia="Times New Roman" w:cs="Times New Roman" w:ascii="Times New Roman" w:hAnsi="Times New Roman"/>
          <w:i w:val="false"/>
          <w:iCs w:val="false"/>
          <w:sz w:val="26"/>
          <w:szCs w:val="26"/>
          <w:lang w:eastAsia="en-CA"/>
        </w:rPr>
        <w:t>shows ability to meet short -term(within the year) financial obligations</w:t>
      </w:r>
    </w:p>
    <w:p>
      <w:pPr>
        <w:pStyle w:val="Normal"/>
        <w:numPr>
          <w:ilvl w:val="0"/>
          <w:numId w:val="26"/>
        </w:numPr>
        <w:spacing w:lineRule="auto" w:line="240" w:before="0" w:after="0"/>
        <w:textAlignment w:val="center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sz w:val="26"/>
          <w:szCs w:val="26"/>
          <w:lang w:eastAsia="en-CA"/>
        </w:rPr>
        <w:t xml:space="preserve">Leverage Ratios – </w:t>
      </w:r>
      <w:r>
        <w:rPr>
          <w:rFonts w:eastAsia="Times New Roman" w:cs="Times New Roman" w:ascii="Times New Roman" w:hAnsi="Times New Roman"/>
          <w:i w:val="false"/>
          <w:iCs w:val="false"/>
          <w:sz w:val="26"/>
          <w:szCs w:val="26"/>
          <w:lang w:eastAsia="en-CA"/>
        </w:rPr>
        <w:t>shows your long term ability to meet your financial obligation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is the idea of liquidity?</w:t>
      </w:r>
    </w:p>
    <w:p>
      <w:pPr>
        <w:pStyle w:val="Normal"/>
        <w:numPr>
          <w:ilvl w:val="0"/>
          <w:numId w:val="28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Liquid assets are easier to convert to cash w/o a large loss of value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 xml:space="preserve">What is the importance of a liquidity ratio such as the current ratio (page 390)? </w:t>
      </w:r>
    </w:p>
    <w:p>
      <w:pPr>
        <w:pStyle w:val="Normal"/>
        <w:numPr>
          <w:ilvl w:val="0"/>
          <w:numId w:val="29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 xml:space="preserve">Current ratio = Current assets / current liability </w:t>
      </w:r>
    </w:p>
    <w:p>
      <w:pPr>
        <w:pStyle w:val="Normal"/>
        <w:numPr>
          <w:ilvl w:val="0"/>
          <w:numId w:val="29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current liability = debt</w:t>
      </w:r>
    </w:p>
    <w:p>
      <w:pPr>
        <w:pStyle w:val="Normal"/>
        <w:numPr>
          <w:ilvl w:val="0"/>
          <w:numId w:val="29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current assets = cash, account receivable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is the main idea to keep in mind in any financial ratio?</w:t>
      </w:r>
    </w:p>
    <w:p>
      <w:pPr>
        <w:pStyle w:val="Normal"/>
        <w:numPr>
          <w:ilvl w:val="0"/>
          <w:numId w:val="30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 xml:space="preserve"> </w:t>
      </w: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A financial ratio does not stand alone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should we compare a financial ratio to?</w:t>
      </w:r>
    </w:p>
    <w:p>
      <w:pPr>
        <w:pStyle w:val="Normal"/>
        <w:numPr>
          <w:ilvl w:val="0"/>
          <w:numId w:val="31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Past ratio – how are we doing compared to the best?</w:t>
      </w:r>
    </w:p>
    <w:p>
      <w:pPr>
        <w:pStyle w:val="Normal"/>
        <w:numPr>
          <w:ilvl w:val="0"/>
          <w:numId w:val="31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Industry averages – How am i doing compared to the industry?</w:t>
      </w:r>
    </w:p>
    <w:p>
      <w:pPr>
        <w:pStyle w:val="Normal"/>
        <w:numPr>
          <w:ilvl w:val="0"/>
          <w:numId w:val="31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Rivals that are public company's – How am i doing compared to the big players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en-CA"/>
        </w:rPr>
        <w:t>B. Stakeholder Perspective - Balanced Scorecard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Four key perspectives with the balanced scorecard:</w:t>
      </w:r>
    </w:p>
    <w:p>
      <w:pPr>
        <w:pStyle w:val="Normal"/>
        <w:numPr>
          <w:ilvl w:val="0"/>
          <w:numId w:val="6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Customer Perspective</w:t>
      </w:r>
    </w:p>
    <w:p>
      <w:pPr>
        <w:pStyle w:val="Normal"/>
        <w:numPr>
          <w:ilvl w:val="0"/>
          <w:numId w:val="6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Internal business perspective</w:t>
      </w:r>
    </w:p>
    <w:p>
      <w:pPr>
        <w:pStyle w:val="Normal"/>
        <w:numPr>
          <w:ilvl w:val="0"/>
          <w:numId w:val="6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Innovation and learning  perspective</w:t>
      </w:r>
    </w:p>
    <w:p>
      <w:pPr>
        <w:pStyle w:val="Normal"/>
        <w:numPr>
          <w:ilvl w:val="0"/>
          <w:numId w:val="6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Financial perspective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 xml:space="preserve">What is the idea behind the balanced scorecard?    </w:t>
      </w:r>
    </w:p>
    <w:p>
      <w:pPr>
        <w:pStyle w:val="Normal"/>
        <w:numPr>
          <w:ilvl w:val="0"/>
          <w:numId w:val="32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Helps see financial status and where it’s going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sz w:val="26"/>
          <w:szCs w:val="26"/>
          <w:u w:val="single"/>
          <w:lang w:eastAsia="en-CA"/>
        </w:rPr>
        <w:t xml:space="preserve">VI. 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u w:val="single"/>
          <w:lang w:eastAsia="en-CA"/>
        </w:rPr>
        <w:t>SWOT Analysis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Are company resources and capabilities enough for it to seize market opportunities and nullify threats?</w:t>
      </w:r>
    </w:p>
    <w:p>
      <w:pPr>
        <w:pStyle w:val="Normal"/>
        <w:numPr>
          <w:ilvl w:val="0"/>
          <w:numId w:val="33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The SWOT analysis should answer the above question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Why are identifying firm's strengths so important?</w:t>
      </w:r>
    </w:p>
    <w:p>
      <w:pPr>
        <w:pStyle w:val="Normal"/>
        <w:numPr>
          <w:ilvl w:val="0"/>
          <w:numId w:val="34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Strategies that play to your firm’s strengths have a higher chance for success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are some examples of potential internal strengths?</w:t>
      </w:r>
    </w:p>
    <w:p>
      <w:pPr>
        <w:pStyle w:val="Normal"/>
        <w:numPr>
          <w:ilvl w:val="0"/>
          <w:numId w:val="35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Product innovation capabilities</w:t>
      </w:r>
    </w:p>
    <w:p>
      <w:pPr>
        <w:pStyle w:val="Normal"/>
        <w:numPr>
          <w:ilvl w:val="0"/>
          <w:numId w:val="35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Proprietary technology/ Important patents</w:t>
      </w:r>
    </w:p>
    <w:p>
      <w:pPr>
        <w:pStyle w:val="Normal"/>
        <w:numPr>
          <w:ilvl w:val="0"/>
          <w:numId w:val="35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Alliances with other firms that provide access to valuable resources</w:t>
      </w:r>
    </w:p>
    <w:p>
      <w:pPr>
        <w:pStyle w:val="Normal"/>
        <w:numPr>
          <w:ilvl w:val="0"/>
          <w:numId w:val="35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Strong brand name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are some examples of company resource weaknesses and competitive deficiencies?</w:t>
      </w:r>
    </w:p>
    <w:p>
      <w:pPr>
        <w:pStyle w:val="Normal"/>
        <w:numPr>
          <w:ilvl w:val="0"/>
          <w:numId w:val="36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High debt loads</w:t>
      </w:r>
    </w:p>
    <w:p>
      <w:pPr>
        <w:pStyle w:val="Normal"/>
        <w:numPr>
          <w:ilvl w:val="0"/>
          <w:numId w:val="36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Too narrow a product line relative to rivals</w:t>
      </w:r>
    </w:p>
    <w:p>
      <w:pPr>
        <w:pStyle w:val="Normal"/>
        <w:numPr>
          <w:ilvl w:val="0"/>
          <w:numId w:val="36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Behind on product quality, R&amp;D, and/or technological know-how. Dell was accused of falling behind on innovation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Why are market opportunities a big factor in shaping a company's strategy?</w:t>
      </w:r>
    </w:p>
    <w:p>
      <w:pPr>
        <w:pStyle w:val="Normal"/>
        <w:numPr>
          <w:ilvl w:val="0"/>
          <w:numId w:val="37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Need to identify each opportunity and assess each opportunity on itès profit potential and growth</w:t>
      </w:r>
    </w:p>
    <w:p>
      <w:pPr>
        <w:pStyle w:val="Normal"/>
        <w:numPr>
          <w:ilvl w:val="0"/>
          <w:numId w:val="37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Acquiring rival firms we attractive tech and/or different market</w:t>
      </w: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br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are some examples of potential opportunities?</w:t>
      </w:r>
    </w:p>
    <w:p>
      <w:pPr>
        <w:pStyle w:val="Normal"/>
        <w:numPr>
          <w:ilvl w:val="0"/>
          <w:numId w:val="38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Nintendo Wii – opened up a huge casual gamers market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makes some opportunities more appealing than others?</w:t>
      </w:r>
    </w:p>
    <w:p>
      <w:pPr>
        <w:pStyle w:val="Normal"/>
        <w:numPr>
          <w:ilvl w:val="0"/>
          <w:numId w:val="42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Estimated profit potential and growth rate</w:t>
      </w:r>
    </w:p>
    <w:p>
      <w:pPr>
        <w:pStyle w:val="Normal"/>
        <w:numPr>
          <w:ilvl w:val="1"/>
          <w:numId w:val="42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 xml:space="preserve">the opportunities matches up well w/ the firms resources &amp; capabilities that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How do we know if an event is a potential external threat?</w:t>
      </w:r>
    </w:p>
    <w:p>
      <w:pPr>
        <w:pStyle w:val="Normal"/>
        <w:numPr>
          <w:ilvl w:val="0"/>
          <w:numId w:val="39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 xml:space="preserve">To enter new product lines or new businesses – Microsoft </w:t>
      </w:r>
    </w:p>
    <w:p>
      <w:pPr>
        <w:pStyle w:val="Normal"/>
        <w:numPr>
          <w:ilvl w:val="0"/>
          <w:numId w:val="39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If it’s going to reduce profit or eliminates the firm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are some potential external threats to a company's future prospects?</w:t>
      </w:r>
    </w:p>
    <w:p>
      <w:pPr>
        <w:pStyle w:val="Normal"/>
        <w:numPr>
          <w:ilvl w:val="0"/>
          <w:numId w:val="40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Shift in buyers needs and/or tastes</w:t>
      </w:r>
    </w:p>
    <w:p>
      <w:pPr>
        <w:pStyle w:val="Normal"/>
        <w:numPr>
          <w:ilvl w:val="0"/>
          <w:numId w:val="40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slow downs in market mature product, most people already own it)</w:t>
      </w:r>
    </w:p>
    <w:p>
      <w:pPr>
        <w:pStyle w:val="Normal"/>
        <w:numPr>
          <w:ilvl w:val="0"/>
          <w:numId w:val="40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Entry of a new rival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What are the next steps after a SWOT analysis is performed?</w:t>
      </w:r>
    </w:p>
    <w:p>
      <w:pPr>
        <w:pStyle w:val="Normal"/>
        <w:numPr>
          <w:ilvl w:val="0"/>
          <w:numId w:val="41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lang w:eastAsia="en-CA"/>
        </w:rPr>
        <w:t>Draw a conclusion on the firm’s overall direction</w:t>
      </w:r>
    </w:p>
    <w:p>
      <w:pPr>
        <w:pStyle w:val="Normal"/>
        <w:numPr>
          <w:ilvl w:val="0"/>
          <w:numId w:val="41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lang w:eastAsia="en-CA"/>
        </w:rPr>
        <w:t>makes sure that your strategy takes into acct your SWOT analysis</w:t>
      </w:r>
    </w:p>
    <w:sectPr>
      <w:footerReference w:type="default" r:id="rId2"/>
      <w:type w:val="nextPage"/>
      <w:pgSz w:w="12240" w:h="15840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1742410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-360"/>
        </w:tabs>
        <w:ind w:left="360" w:hanging="0"/>
      </w:pPr>
      <w:rPr>
        <w:sz w:val="20"/>
      </w:r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223"/>
        </w:tabs>
        <w:ind w:left="1223" w:hanging="360"/>
      </w:pPr>
      <w:rPr/>
    </w:lvl>
    <w:lvl w:ilvl="1">
      <w:start w:val="1"/>
      <w:numFmt w:val="decimal"/>
      <w:lvlText w:val="%2."/>
      <w:lvlJc w:val="left"/>
      <w:pPr>
        <w:tabs>
          <w:tab w:val="num" w:pos="1583"/>
        </w:tabs>
        <w:ind w:left="1583" w:hanging="360"/>
      </w:pPr>
      <w:rPr/>
    </w:lvl>
    <w:lvl w:ilvl="2">
      <w:start w:val="1"/>
      <w:numFmt w:val="decimal"/>
      <w:lvlText w:val="%3."/>
      <w:lvlJc w:val="left"/>
      <w:pPr>
        <w:tabs>
          <w:tab w:val="num" w:pos="1943"/>
        </w:tabs>
        <w:ind w:left="1943" w:hanging="360"/>
      </w:pPr>
      <w:rPr/>
    </w:lvl>
    <w:lvl w:ilvl="3">
      <w:start w:val="1"/>
      <w:numFmt w:val="decimal"/>
      <w:lvlText w:val="%4."/>
      <w:lvlJc w:val="left"/>
      <w:pPr>
        <w:tabs>
          <w:tab w:val="num" w:pos="2303"/>
        </w:tabs>
        <w:ind w:left="2303" w:hanging="360"/>
      </w:pPr>
      <w:rPr/>
    </w:lvl>
    <w:lvl w:ilvl="4">
      <w:start w:val="1"/>
      <w:numFmt w:val="decimal"/>
      <w:lvlText w:val="%5."/>
      <w:lvlJc w:val="left"/>
      <w:pPr>
        <w:tabs>
          <w:tab w:val="num" w:pos="2663"/>
        </w:tabs>
        <w:ind w:left="2663" w:hanging="360"/>
      </w:pPr>
      <w:rPr/>
    </w:lvl>
    <w:lvl w:ilvl="5">
      <w:start w:val="1"/>
      <w:numFmt w:val="decimal"/>
      <w:lvlText w:val="%6."/>
      <w:lvlJc w:val="left"/>
      <w:pPr>
        <w:tabs>
          <w:tab w:val="num" w:pos="3023"/>
        </w:tabs>
        <w:ind w:left="3023" w:hanging="360"/>
      </w:pPr>
      <w:rPr/>
    </w:lvl>
    <w:lvl w:ilvl="6">
      <w:start w:val="1"/>
      <w:numFmt w:val="decimal"/>
      <w:lvlText w:val="%7."/>
      <w:lvlJc w:val="left"/>
      <w:pPr>
        <w:tabs>
          <w:tab w:val="num" w:pos="3383"/>
        </w:tabs>
        <w:ind w:left="3383" w:hanging="360"/>
      </w:pPr>
      <w:rPr/>
    </w:lvl>
    <w:lvl w:ilvl="7">
      <w:start w:val="1"/>
      <w:numFmt w:val="decimal"/>
      <w:lvlText w:val="%8."/>
      <w:lvlJc w:val="left"/>
      <w:pPr>
        <w:tabs>
          <w:tab w:val="num" w:pos="3743"/>
        </w:tabs>
        <w:ind w:left="3743" w:hanging="360"/>
      </w:pPr>
      <w:rPr/>
    </w:lvl>
    <w:lvl w:ilvl="8">
      <w:start w:val="1"/>
      <w:numFmt w:val="decimal"/>
      <w:lvlText w:val="%9."/>
      <w:lvlJc w:val="left"/>
      <w:pPr>
        <w:tabs>
          <w:tab w:val="num" w:pos="4103"/>
        </w:tabs>
        <w:ind w:left="4103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863"/>
        </w:tabs>
        <w:ind w:left="86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23"/>
        </w:tabs>
        <w:ind w:left="122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83"/>
        </w:tabs>
        <w:ind w:left="158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43"/>
        </w:tabs>
        <w:ind w:left="194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03"/>
        </w:tabs>
        <w:ind w:left="230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63"/>
        </w:tabs>
        <w:ind w:left="266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23"/>
        </w:tabs>
        <w:ind w:left="302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83"/>
        </w:tabs>
        <w:ind w:left="338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43"/>
        </w:tabs>
        <w:ind w:left="3743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223"/>
        </w:tabs>
        <w:ind w:left="122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83"/>
        </w:tabs>
        <w:ind w:left="158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43"/>
        </w:tabs>
        <w:ind w:left="194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03"/>
        </w:tabs>
        <w:ind w:left="230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63"/>
        </w:tabs>
        <w:ind w:left="266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23"/>
        </w:tabs>
        <w:ind w:left="302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83"/>
        </w:tabs>
        <w:ind w:left="338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43"/>
        </w:tabs>
        <w:ind w:left="374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03"/>
        </w:tabs>
        <w:ind w:left="4103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223"/>
        </w:tabs>
        <w:ind w:left="122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83"/>
        </w:tabs>
        <w:ind w:left="158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43"/>
        </w:tabs>
        <w:ind w:left="194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03"/>
        </w:tabs>
        <w:ind w:left="230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63"/>
        </w:tabs>
        <w:ind w:left="266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23"/>
        </w:tabs>
        <w:ind w:left="302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83"/>
        </w:tabs>
        <w:ind w:left="338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43"/>
        </w:tabs>
        <w:ind w:left="374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03"/>
        </w:tabs>
        <w:ind w:left="4103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1223"/>
        </w:tabs>
        <w:ind w:left="1223" w:hanging="360"/>
      </w:pPr>
      <w:rPr/>
    </w:lvl>
    <w:lvl w:ilvl="1">
      <w:start w:val="1"/>
      <w:numFmt w:val="decimal"/>
      <w:lvlText w:val="%2."/>
      <w:lvlJc w:val="left"/>
      <w:pPr>
        <w:tabs>
          <w:tab w:val="num" w:pos="1583"/>
        </w:tabs>
        <w:ind w:left="1583" w:hanging="360"/>
      </w:pPr>
      <w:rPr/>
    </w:lvl>
    <w:lvl w:ilvl="2">
      <w:start w:val="1"/>
      <w:numFmt w:val="decimal"/>
      <w:lvlText w:val="%3."/>
      <w:lvlJc w:val="left"/>
      <w:pPr>
        <w:tabs>
          <w:tab w:val="num" w:pos="1943"/>
        </w:tabs>
        <w:ind w:left="1943" w:hanging="360"/>
      </w:pPr>
      <w:rPr/>
    </w:lvl>
    <w:lvl w:ilvl="3">
      <w:start w:val="1"/>
      <w:numFmt w:val="decimal"/>
      <w:lvlText w:val="%4."/>
      <w:lvlJc w:val="left"/>
      <w:pPr>
        <w:tabs>
          <w:tab w:val="num" w:pos="2303"/>
        </w:tabs>
        <w:ind w:left="2303" w:hanging="360"/>
      </w:pPr>
      <w:rPr/>
    </w:lvl>
    <w:lvl w:ilvl="4">
      <w:start w:val="1"/>
      <w:numFmt w:val="decimal"/>
      <w:lvlText w:val="%5."/>
      <w:lvlJc w:val="left"/>
      <w:pPr>
        <w:tabs>
          <w:tab w:val="num" w:pos="2663"/>
        </w:tabs>
        <w:ind w:left="2663" w:hanging="360"/>
      </w:pPr>
      <w:rPr/>
    </w:lvl>
    <w:lvl w:ilvl="5">
      <w:start w:val="1"/>
      <w:numFmt w:val="decimal"/>
      <w:lvlText w:val="%6."/>
      <w:lvlJc w:val="left"/>
      <w:pPr>
        <w:tabs>
          <w:tab w:val="num" w:pos="3023"/>
        </w:tabs>
        <w:ind w:left="3023" w:hanging="360"/>
      </w:pPr>
      <w:rPr/>
    </w:lvl>
    <w:lvl w:ilvl="6">
      <w:start w:val="1"/>
      <w:numFmt w:val="decimal"/>
      <w:lvlText w:val="%7."/>
      <w:lvlJc w:val="left"/>
      <w:pPr>
        <w:tabs>
          <w:tab w:val="num" w:pos="3383"/>
        </w:tabs>
        <w:ind w:left="3383" w:hanging="360"/>
      </w:pPr>
      <w:rPr/>
    </w:lvl>
    <w:lvl w:ilvl="7">
      <w:start w:val="1"/>
      <w:numFmt w:val="decimal"/>
      <w:lvlText w:val="%8."/>
      <w:lvlJc w:val="left"/>
      <w:pPr>
        <w:tabs>
          <w:tab w:val="num" w:pos="3743"/>
        </w:tabs>
        <w:ind w:left="3743" w:hanging="360"/>
      </w:pPr>
      <w:rPr/>
    </w:lvl>
    <w:lvl w:ilvl="8">
      <w:start w:val="1"/>
      <w:numFmt w:val="decimal"/>
      <w:lvlText w:val="%9."/>
      <w:lvlJc w:val="left"/>
      <w:pPr>
        <w:tabs>
          <w:tab w:val="num" w:pos="4103"/>
        </w:tabs>
        <w:ind w:left="4103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223"/>
        </w:tabs>
        <w:ind w:left="122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83"/>
        </w:tabs>
        <w:ind w:left="158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43"/>
        </w:tabs>
        <w:ind w:left="194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03"/>
        </w:tabs>
        <w:ind w:left="230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63"/>
        </w:tabs>
        <w:ind w:left="266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23"/>
        </w:tabs>
        <w:ind w:left="302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83"/>
        </w:tabs>
        <w:ind w:left="338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43"/>
        </w:tabs>
        <w:ind w:left="374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03"/>
        </w:tabs>
        <w:ind w:left="4103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055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055bf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rFonts w:ascii="Times New Roman" w:hAnsi="Times New Roman"/>
      <w:sz w:val="26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rFonts w:ascii="Times New Roman" w:hAnsi="Times New Roman"/>
      <w:sz w:val="26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sz w:val="20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sz w:val="20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0f0d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0f0dc4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5055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055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Application>LibreOffice/5.4.4.2$Windows_X86_64 LibreOffice_project/2524958677847fb3bb44820e40380acbe820f960</Application>
  <Pages>5</Pages>
  <Words>1379</Words>
  <Characters>7045</Characters>
  <CharactersWithSpaces>8227</CharactersWithSpaces>
  <Paragraphs>155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2016-01-14T18:41:00Z</dcterms:created>
  <dc:creator>James</dc:creator>
  <dc:description/>
  <dc:language>en-CA</dc:language>
  <cp:lastModifiedBy/>
  <dcterms:modified xsi:type="dcterms:W3CDTF">2018-01-23T12:00:11Z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