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F9627" w14:textId="1E3E5527" w:rsidR="004D5DD6" w:rsidRDefault="005B5916" w:rsidP="004D5D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Supporting Information</w:t>
      </w:r>
      <w:bookmarkStart w:id="0" w:name="_GoBack"/>
      <w:bookmarkEnd w:id="0"/>
    </w:p>
    <w:p w14:paraId="330B84C0" w14:textId="5AEE775D" w:rsidR="004D5DD6" w:rsidRDefault="004D5DD6" w:rsidP="004D5DD6">
      <w:pPr>
        <w:rPr>
          <w:rFonts w:ascii="Times New Roman" w:hAnsi="Times New Roman" w:cs="Times New Roman"/>
          <w:b/>
          <w:sz w:val="24"/>
          <w:szCs w:val="24"/>
        </w:rPr>
      </w:pPr>
    </w:p>
    <w:p w14:paraId="58B836F0" w14:textId="77777777" w:rsidR="00652416" w:rsidRDefault="001119F1" w:rsidP="001119F1">
      <w:pPr>
        <w:pStyle w:val="Head"/>
        <w:spacing w:before="0" w:after="0"/>
        <w:jc w:val="left"/>
        <w:rPr>
          <w:sz w:val="24"/>
          <w:szCs w:val="24"/>
        </w:rPr>
      </w:pPr>
      <w:r w:rsidRPr="0087198A">
        <w:rPr>
          <w:sz w:val="24"/>
          <w:szCs w:val="24"/>
        </w:rPr>
        <w:t>Title</w:t>
      </w:r>
      <w:r w:rsidR="00652416">
        <w:rPr>
          <w:sz w:val="24"/>
          <w:szCs w:val="24"/>
        </w:rPr>
        <w:t>:</w:t>
      </w:r>
    </w:p>
    <w:p w14:paraId="2BB7C9AF" w14:textId="7454150B" w:rsidR="001119F1" w:rsidRPr="0087198A" w:rsidRDefault="001119F1" w:rsidP="001119F1">
      <w:pPr>
        <w:pStyle w:val="Head"/>
        <w:spacing w:before="0" w:after="0"/>
        <w:jc w:val="left"/>
        <w:rPr>
          <w:b w:val="0"/>
          <w:sz w:val="24"/>
          <w:szCs w:val="24"/>
          <w:vertAlign w:val="subscript"/>
        </w:rPr>
      </w:pPr>
      <w:r w:rsidRPr="0087198A">
        <w:rPr>
          <w:b w:val="0"/>
          <w:sz w:val="24"/>
          <w:szCs w:val="24"/>
        </w:rPr>
        <w:t xml:space="preserve">Interfacial-Redox-Induced Tuning of Superconductivity in </w:t>
      </w:r>
      <w:bookmarkStart w:id="1" w:name="_Hlk525402495"/>
      <w:r w:rsidRPr="0087198A">
        <w:rPr>
          <w:b w:val="0"/>
          <w:sz w:val="24"/>
          <w:szCs w:val="24"/>
        </w:rPr>
        <w:t>YBa</w:t>
      </w:r>
      <w:r w:rsidRPr="0087198A">
        <w:rPr>
          <w:b w:val="0"/>
          <w:sz w:val="24"/>
          <w:szCs w:val="24"/>
          <w:vertAlign w:val="subscript"/>
        </w:rPr>
        <w:t>2</w:t>
      </w:r>
      <w:r w:rsidRPr="0087198A">
        <w:rPr>
          <w:b w:val="0"/>
          <w:sz w:val="24"/>
          <w:szCs w:val="24"/>
        </w:rPr>
        <w:t>Cu</w:t>
      </w:r>
      <w:r w:rsidRPr="0087198A">
        <w:rPr>
          <w:b w:val="0"/>
          <w:sz w:val="24"/>
          <w:szCs w:val="24"/>
          <w:vertAlign w:val="subscript"/>
        </w:rPr>
        <w:t>3</w:t>
      </w:r>
      <w:r w:rsidRPr="0087198A">
        <w:rPr>
          <w:b w:val="0"/>
          <w:sz w:val="24"/>
          <w:szCs w:val="24"/>
        </w:rPr>
        <w:t>O</w:t>
      </w:r>
      <w:r w:rsidRPr="0087198A">
        <w:rPr>
          <w:b w:val="0"/>
          <w:sz w:val="24"/>
          <w:szCs w:val="24"/>
          <w:vertAlign w:val="subscript"/>
        </w:rPr>
        <w:t>7-δ</w:t>
      </w:r>
      <w:bookmarkEnd w:id="1"/>
    </w:p>
    <w:p w14:paraId="3CA1E566" w14:textId="77777777" w:rsidR="001119F1" w:rsidRPr="0087198A" w:rsidRDefault="001119F1" w:rsidP="001119F1">
      <w:pPr>
        <w:pStyle w:val="Head"/>
        <w:spacing w:before="0" w:after="0"/>
        <w:ind w:firstLine="720"/>
        <w:jc w:val="left"/>
        <w:rPr>
          <w:sz w:val="24"/>
          <w:szCs w:val="24"/>
        </w:rPr>
      </w:pPr>
    </w:p>
    <w:p w14:paraId="29EA516C" w14:textId="2E207D6A" w:rsidR="001119F1" w:rsidRPr="0087198A" w:rsidRDefault="001119F1" w:rsidP="001119F1">
      <w:pPr>
        <w:pStyle w:val="Teaser"/>
        <w:spacing w:before="0"/>
        <w:rPr>
          <w:b/>
        </w:rPr>
      </w:pPr>
      <w:r w:rsidRPr="0087198A">
        <w:rPr>
          <w:b/>
        </w:rPr>
        <w:t>Authors</w:t>
      </w:r>
      <w:r w:rsidR="00652416">
        <w:rPr>
          <w:b/>
        </w:rPr>
        <w:t>:</w:t>
      </w:r>
    </w:p>
    <w:p w14:paraId="1D426E22" w14:textId="77777777" w:rsidR="001119F1" w:rsidRPr="0087198A" w:rsidRDefault="001119F1" w:rsidP="001119F1">
      <w:pPr>
        <w:pStyle w:val="Teaser"/>
        <w:spacing w:before="0"/>
      </w:pPr>
    </w:p>
    <w:p w14:paraId="1887D649" w14:textId="57EF7586" w:rsidR="001119F1" w:rsidRPr="00652416" w:rsidRDefault="001119F1" w:rsidP="001119F1">
      <w:pPr>
        <w:pStyle w:val="Paragraph"/>
        <w:spacing w:before="0"/>
        <w:ind w:firstLine="0"/>
        <w:rPr>
          <w:i/>
        </w:rPr>
      </w:pPr>
      <w:r w:rsidRPr="00652416">
        <w:rPr>
          <w:i/>
        </w:rPr>
        <w:t>Peyton D. Murray, Dustin A. Gilbert, Alexander J. Grutter, Brian J. Kirby,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</w:t>
      </w:r>
    </w:p>
    <w:p w14:paraId="2CC82C7B" w14:textId="4D5687C5" w:rsidR="001119F1" w:rsidRPr="00652416" w:rsidRDefault="001119F1" w:rsidP="001119F1">
      <w:pPr>
        <w:pStyle w:val="Paragraph"/>
        <w:spacing w:before="0"/>
        <w:ind w:firstLine="0"/>
        <w:rPr>
          <w:i/>
        </w:rPr>
      </w:pPr>
      <w:r w:rsidRPr="00652416">
        <w:rPr>
          <w:i/>
        </w:rPr>
        <w:t xml:space="preserve">David Hernandez-Maldonado, Maria Varela, Zachary E. Brubaker, </w:t>
      </w:r>
      <w:bookmarkStart w:id="2" w:name="_Hlk3299088"/>
      <w:r w:rsidR="008D4488">
        <w:rPr>
          <w:i/>
        </w:rPr>
        <w:t xml:space="preserve">W.L.N.C. </w:t>
      </w:r>
      <w:proofErr w:type="spellStart"/>
      <w:r w:rsidR="008D4488">
        <w:rPr>
          <w:i/>
        </w:rPr>
        <w:t>Liyanage</w:t>
      </w:r>
      <w:bookmarkEnd w:id="2"/>
      <w:proofErr w:type="spellEnd"/>
      <w:r w:rsidR="008D4488">
        <w:rPr>
          <w:i/>
        </w:rPr>
        <w:t>,</w:t>
      </w:r>
      <w:r w:rsidR="008D4488">
        <w:rPr>
          <w:i/>
          <w:vertAlign w:val="superscript"/>
        </w:rPr>
        <w:t xml:space="preserve"> </w:t>
      </w:r>
      <w:r w:rsidRPr="00652416">
        <w:rPr>
          <w:i/>
        </w:rPr>
        <w:t xml:space="preserve">Rajesh V. </w:t>
      </w:r>
      <w:proofErr w:type="spellStart"/>
      <w:r w:rsidRPr="00652416">
        <w:rPr>
          <w:i/>
        </w:rPr>
        <w:t>Chopdekar</w:t>
      </w:r>
      <w:proofErr w:type="spellEnd"/>
      <w:r w:rsidRPr="00652416">
        <w:rPr>
          <w:i/>
        </w:rPr>
        <w:t xml:space="preserve">, Valentin </w:t>
      </w:r>
      <w:proofErr w:type="spellStart"/>
      <w:r w:rsidRPr="00652416">
        <w:rPr>
          <w:i/>
        </w:rPr>
        <w:t>Taufour</w:t>
      </w:r>
      <w:proofErr w:type="spellEnd"/>
      <w:r w:rsidRPr="00652416">
        <w:rPr>
          <w:i/>
        </w:rPr>
        <w:t xml:space="preserve">, Rena J. </w:t>
      </w:r>
      <w:proofErr w:type="spellStart"/>
      <w:r w:rsidRPr="00652416">
        <w:rPr>
          <w:i/>
        </w:rPr>
        <w:t>Zieve</w:t>
      </w:r>
      <w:proofErr w:type="spellEnd"/>
      <w:r w:rsidRPr="00652416">
        <w:rPr>
          <w:i/>
        </w:rPr>
        <w:t xml:space="preserve">, Jason R. Jeffries, </w:t>
      </w:r>
      <w:proofErr w:type="spellStart"/>
      <w:r w:rsidRPr="00652416">
        <w:rPr>
          <w:i/>
        </w:rPr>
        <w:t>Elke</w:t>
      </w:r>
      <w:proofErr w:type="spellEnd"/>
      <w:r w:rsidRPr="00652416">
        <w:rPr>
          <w:i/>
        </w:rPr>
        <w:t xml:space="preserve"> </w:t>
      </w:r>
      <w:proofErr w:type="spellStart"/>
      <w:r w:rsidRPr="00652416">
        <w:rPr>
          <w:i/>
        </w:rPr>
        <w:t>Arenholz</w:t>
      </w:r>
      <w:proofErr w:type="spellEnd"/>
      <w:r w:rsidRPr="00652416">
        <w:rPr>
          <w:i/>
        </w:rPr>
        <w:t xml:space="preserve">, Yayoi </w:t>
      </w:r>
      <w:proofErr w:type="spellStart"/>
      <w:r w:rsidRPr="00652416">
        <w:rPr>
          <w:i/>
        </w:rPr>
        <w:t>Takamura</w:t>
      </w:r>
      <w:proofErr w:type="spellEnd"/>
      <w:r w:rsidRPr="00652416">
        <w:rPr>
          <w:i/>
        </w:rPr>
        <w:t>,</w:t>
      </w:r>
      <w:r w:rsidR="008D4488">
        <w:rPr>
          <w:i/>
        </w:rPr>
        <w:t xml:space="preserve"> </w:t>
      </w:r>
      <w:r w:rsidRPr="00652416">
        <w:rPr>
          <w:i/>
        </w:rPr>
        <w:t>Julie A. Borchers, Kai Liu</w:t>
      </w:r>
      <w:r w:rsidRPr="00652416">
        <w:rPr>
          <w:i/>
          <w:vertAlign w:val="superscript"/>
        </w:rPr>
        <w:t xml:space="preserve"> </w:t>
      </w:r>
    </w:p>
    <w:p w14:paraId="165F2C19" w14:textId="77777777" w:rsidR="001119F1" w:rsidRPr="0087198A" w:rsidRDefault="001119F1" w:rsidP="001119F1">
      <w:pPr>
        <w:pStyle w:val="Paragraph"/>
        <w:spacing w:before="0"/>
        <w:ind w:firstLine="0"/>
        <w:rPr>
          <w:b/>
        </w:rPr>
      </w:pPr>
    </w:p>
    <w:p w14:paraId="09661171" w14:textId="77777777" w:rsidR="001119F1" w:rsidRDefault="001119F1" w:rsidP="004D5DD6">
      <w:pPr>
        <w:rPr>
          <w:rFonts w:ascii="Times New Roman" w:hAnsi="Times New Roman" w:cs="Times New Roman"/>
          <w:b/>
          <w:sz w:val="24"/>
          <w:szCs w:val="24"/>
        </w:rPr>
      </w:pPr>
    </w:p>
    <w:p w14:paraId="6BAA1983" w14:textId="6B38FC21" w:rsidR="00AE1230" w:rsidRPr="00AE1230" w:rsidRDefault="004D5DD6" w:rsidP="00AE1230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84273">
        <w:rPr>
          <w:rFonts w:ascii="Times New Roman" w:hAnsi="Times New Roman" w:cs="Times New Roman"/>
          <w:sz w:val="24"/>
          <w:szCs w:val="24"/>
        </w:rPr>
        <w:t>nuclear</w:t>
      </w:r>
      <w:r>
        <w:rPr>
          <w:rFonts w:ascii="Times New Roman" w:hAnsi="Times New Roman" w:cs="Times New Roman"/>
          <w:sz w:val="24"/>
          <w:szCs w:val="24"/>
        </w:rPr>
        <w:t xml:space="preserve"> SLD</w:t>
      </w:r>
      <w:r w:rsidR="00B84273">
        <w:rPr>
          <w:rFonts w:ascii="Times New Roman" w:hAnsi="Times New Roman" w:cs="Times New Roman"/>
          <w:sz w:val="24"/>
          <w:szCs w:val="24"/>
        </w:rPr>
        <w:t xml:space="preserve"> profiles</w:t>
      </w:r>
      <w:r>
        <w:rPr>
          <w:rFonts w:ascii="Times New Roman" w:hAnsi="Times New Roman" w:cs="Times New Roman"/>
          <w:sz w:val="24"/>
          <w:szCs w:val="24"/>
        </w:rPr>
        <w:t xml:space="preserve"> presented in Fig. 4 of the main text correspond to</w:t>
      </w:r>
      <w:r w:rsidR="00B8427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models which best fit the specular reflectivit</w:t>
      </w:r>
      <w:r w:rsidR="00B84273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 of the as-grown and Gd-capped samples</w:t>
      </w:r>
      <w:r w:rsidR="001119F1">
        <w:rPr>
          <w:rFonts w:ascii="Times New Roman" w:hAnsi="Times New Roman" w:cs="Times New Roman"/>
          <w:sz w:val="24"/>
          <w:szCs w:val="24"/>
        </w:rPr>
        <w:t xml:space="preserve"> measured at 6</w:t>
      </w:r>
      <w:r w:rsidR="00135693">
        <w:rPr>
          <w:rFonts w:ascii="Times New Roman" w:hAnsi="Times New Roman" w:cs="Times New Roman"/>
          <w:sz w:val="24"/>
          <w:szCs w:val="24"/>
        </w:rPr>
        <w:t xml:space="preserve"> </w:t>
      </w:r>
      <w:r w:rsidR="001119F1">
        <w:rPr>
          <w:rFonts w:ascii="Times New Roman" w:hAnsi="Times New Roman" w:cs="Times New Roman"/>
          <w:sz w:val="24"/>
          <w:szCs w:val="24"/>
        </w:rPr>
        <w:t>K</w:t>
      </w:r>
      <w:r w:rsidR="00FD5421">
        <w:rPr>
          <w:rFonts w:ascii="Times New Roman" w:hAnsi="Times New Roman" w:cs="Times New Roman"/>
          <w:sz w:val="24"/>
          <w:szCs w:val="24"/>
        </w:rPr>
        <w:t>, shown in Fig. S1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473BC">
        <w:rPr>
          <w:rFonts w:ascii="Times New Roman" w:hAnsi="Times New Roman" w:cs="Times New Roman"/>
          <w:sz w:val="24"/>
          <w:szCs w:val="24"/>
        </w:rPr>
        <w:t xml:space="preserve">The data was fitted in parallel with the </w:t>
      </w:r>
      <m:oMath>
        <m:sSubSup>
          <m:sSubSupPr>
            <m:ctrlPr>
              <w:rPr>
                <w:rFonts w:ascii="Cambria Math" w:eastAsia="Cambria" w:hAnsi="Cambria Math" w:cs="Cambria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" w:hAnsi="Cambria Math" w:cs="Cambria"/>
                <w:szCs w:val="24"/>
              </w:rPr>
              <m:t>ρ</m:t>
            </m:r>
          </m:e>
          <m:sub>
            <m:r>
              <w:rPr>
                <w:rFonts w:ascii="Cambria Math" w:eastAsia="Cambria" w:hAnsi="Cambria Math" w:cs="Cambria"/>
                <w:szCs w:val="24"/>
              </w:rPr>
              <m:t>N</m:t>
            </m:r>
          </m:sub>
          <m:sup>
            <m:r>
              <w:rPr>
                <w:rFonts w:ascii="Cambria Math" w:eastAsia="Cambria" w:hAnsi="Cambria Math" w:cs="Cambria"/>
                <w:szCs w:val="24"/>
              </w:rPr>
              <m:t>STO</m:t>
            </m:r>
          </m:sup>
        </m:sSubSup>
      </m:oMath>
      <w:r w:rsidR="00853B44">
        <w:rPr>
          <w:rFonts w:ascii="Times New Roman" w:eastAsiaTheme="minorEastAsia" w:hAnsi="Times New Roman" w:cs="Times New Roman"/>
          <w:szCs w:val="24"/>
        </w:rPr>
        <w:t xml:space="preserve">, </w:t>
      </w:r>
      <m:oMath>
        <m:sSubSup>
          <m:sSubSupPr>
            <m:ctrlPr>
              <w:rPr>
                <w:rFonts w:ascii="Cambria Math" w:eastAsia="Cambria" w:hAnsi="Cambria Math" w:cs="Cambria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" w:hAnsi="Cambria Math" w:cs="Cambria"/>
                <w:szCs w:val="24"/>
              </w:rPr>
              <m:t>ρ</m:t>
            </m:r>
          </m:e>
          <m:sub>
            <m:r>
              <w:rPr>
                <w:rFonts w:ascii="Cambria Math" w:eastAsia="Cambria" w:hAnsi="Cambria Math" w:cs="Cambria"/>
                <w:szCs w:val="24"/>
              </w:rPr>
              <m:t>N</m:t>
            </m:r>
          </m:sub>
          <m:sup>
            <m:r>
              <w:rPr>
                <w:rFonts w:ascii="Cambria Math" w:eastAsia="Cambria" w:hAnsi="Cambria Math" w:cs="Cambria"/>
                <w:szCs w:val="24"/>
              </w:rPr>
              <m:t>GdO</m:t>
            </m:r>
          </m:sup>
        </m:sSubSup>
      </m:oMath>
      <w:r w:rsidR="00853B44">
        <w:rPr>
          <w:rFonts w:ascii="Times New Roman" w:eastAsiaTheme="minorEastAsia" w:hAnsi="Times New Roman" w:cs="Times New Roman"/>
          <w:szCs w:val="24"/>
        </w:rPr>
        <w:t xml:space="preserve">, </w:t>
      </w:r>
      <m:oMath>
        <m:sSubSup>
          <m:sSubSupPr>
            <m:ctrlPr>
              <w:rPr>
                <w:rFonts w:ascii="Cambria Math" w:eastAsia="Cambria" w:hAnsi="Cambria Math" w:cs="Cambria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" w:hAnsi="Cambria Math" w:cs="Cambria"/>
                <w:szCs w:val="24"/>
              </w:rPr>
              <m:t>ρ</m:t>
            </m:r>
          </m:e>
          <m:sub>
            <m:r>
              <w:rPr>
                <w:rFonts w:ascii="Cambria Math" w:eastAsia="Cambria" w:hAnsi="Cambria Math" w:cs="Cambria"/>
                <w:szCs w:val="24"/>
              </w:rPr>
              <m:t>N-imag</m:t>
            </m:r>
          </m:sub>
          <m:sup>
            <m:r>
              <w:rPr>
                <w:rFonts w:ascii="Cambria Math" w:eastAsia="Cambria" w:hAnsi="Cambria Math" w:cs="Cambria"/>
                <w:szCs w:val="24"/>
              </w:rPr>
              <m:t>GdO</m:t>
            </m:r>
          </m:sup>
        </m:sSubSup>
      </m:oMath>
      <w:r w:rsidR="00853B44">
        <w:rPr>
          <w:rFonts w:ascii="Times New Roman" w:eastAsiaTheme="minorEastAsia" w:hAnsi="Times New Roman" w:cs="Times New Roman"/>
          <w:szCs w:val="24"/>
        </w:rPr>
        <w:t xml:space="preserve">, </w:t>
      </w:r>
      <m:oMath>
        <m:sSubSup>
          <m:sSubSupPr>
            <m:ctrlPr>
              <w:rPr>
                <w:rFonts w:ascii="Cambria Math" w:eastAsia="Cambria" w:hAnsi="Cambria Math" w:cs="Cambria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" w:hAnsi="Cambria Math" w:cs="Cambria"/>
                <w:szCs w:val="24"/>
              </w:rPr>
              <m:t>ρ</m:t>
            </m:r>
          </m:e>
          <m:sub>
            <m:r>
              <w:rPr>
                <w:rFonts w:ascii="Cambria Math" w:eastAsia="Cambria" w:hAnsi="Cambria Math" w:cs="Cambria"/>
                <w:szCs w:val="24"/>
              </w:rPr>
              <m:t>N</m:t>
            </m:r>
          </m:sub>
          <m:sup>
            <m:r>
              <w:rPr>
                <w:rFonts w:ascii="Cambria Math" w:eastAsia="Cambria" w:hAnsi="Cambria Math" w:cs="Cambria"/>
                <w:szCs w:val="24"/>
              </w:rPr>
              <m:t>Au</m:t>
            </m:r>
          </m:sup>
        </m:sSubSup>
      </m:oMath>
      <w:r w:rsidR="00853B44">
        <w:rPr>
          <w:rFonts w:ascii="Times New Roman" w:eastAsiaTheme="minorEastAsia" w:hAnsi="Times New Roman" w:cs="Times New Roman"/>
          <w:szCs w:val="24"/>
        </w:rPr>
        <w:t xml:space="preserve">strictly coupled such-that is it the same in every model. </w:t>
      </w:r>
      <w:r>
        <w:rPr>
          <w:rFonts w:ascii="Times New Roman" w:hAnsi="Times New Roman" w:cs="Times New Roman"/>
          <w:sz w:val="24"/>
          <w:szCs w:val="24"/>
        </w:rPr>
        <w:t xml:space="preserve">The non-spin-flip </w:t>
      </w:r>
      <w:proofErr w:type="spellStart"/>
      <w:r w:rsidR="00082FFE">
        <w:rPr>
          <w:rFonts w:ascii="Times New Roman" w:hAnsi="Times New Roman" w:cs="Times New Roman"/>
          <w:sz w:val="24"/>
          <w:szCs w:val="24"/>
        </w:rPr>
        <w:t>reflectivities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 w:rsidR="00EB1EFE">
        <w:rPr>
          <w:rFonts w:ascii="Times New Roman" w:eastAsiaTheme="minorEastAsia" w:hAnsi="Times New Roman" w:cs="Times New Roman"/>
          <w:sz w:val="24"/>
          <w:szCs w:val="24"/>
        </w:rPr>
        <w:t>the as-grown and Gd (3 nm and 7 nm)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YBCO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samples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show </w:t>
      </w:r>
      <w:r w:rsidR="00212DB6">
        <w:rPr>
          <w:rFonts w:ascii="Times New Roman" w:eastAsiaTheme="minorEastAsia" w:hAnsi="Times New Roman" w:cs="Times New Roman"/>
          <w:sz w:val="24"/>
          <w:szCs w:val="24"/>
        </w:rPr>
        <w:t>minimal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spin asymmetry, indicating that little to no magnetism is present in either the </w:t>
      </w:r>
      <w:r w:rsidR="00747E1D">
        <w:rPr>
          <w:rFonts w:ascii="Times New Roman" w:eastAsiaTheme="minorEastAsia" w:hAnsi="Times New Roman" w:cs="Times New Roman"/>
          <w:sz w:val="24"/>
          <w:szCs w:val="24"/>
        </w:rPr>
        <w:t xml:space="preserve">YBCO or the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>Gd layer</w:t>
      </w:r>
      <w:r w:rsidR="00747E1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even without fitting. Thus, the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 possibility of magnetic proximity effects 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>playing</w:t>
      </w:r>
      <w:r w:rsidR="006C192E">
        <w:rPr>
          <w:rFonts w:ascii="Times New Roman" w:eastAsiaTheme="minorEastAsia" w:hAnsi="Times New Roman" w:cs="Times New Roman"/>
          <w:sz w:val="24"/>
          <w:szCs w:val="24"/>
        </w:rPr>
        <w:t xml:space="preserve"> a role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>in the suppression of superconductivity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5E93">
        <w:rPr>
          <w:rFonts w:ascii="Times New Roman" w:eastAsiaTheme="minorEastAsia" w:hAnsi="Times New Roman" w:cs="Times New Roman"/>
          <w:sz w:val="24"/>
          <w:szCs w:val="24"/>
        </w:rPr>
        <w:t xml:space="preserve">of these samples 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>can be ruled out.</w:t>
      </w:r>
      <w:r w:rsidR="00EB1E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A72DC"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AE1230">
        <w:rPr>
          <w:rFonts w:ascii="Times New Roman" w:eastAsiaTheme="minorEastAsia" w:hAnsi="Times New Roman" w:cs="Times New Roman"/>
          <w:sz w:val="24"/>
          <w:szCs w:val="24"/>
        </w:rPr>
        <w:t>agnetometry</w:t>
      </w:r>
      <w:proofErr w:type="spellEnd"/>
      <w:r w:rsidR="00AE1230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proofErr w:type="spellStart"/>
      <w:r w:rsidR="00AE1230">
        <w:rPr>
          <w:rFonts w:ascii="Times New Roman" w:eastAsiaTheme="minorEastAsia" w:hAnsi="Times New Roman" w:cs="Times New Roman"/>
          <w:sz w:val="24"/>
          <w:szCs w:val="24"/>
        </w:rPr>
        <w:t>Gd</w:t>
      </w:r>
      <w:proofErr w:type="spellEnd"/>
      <w:r w:rsidR="00AE1230">
        <w:rPr>
          <w:rFonts w:ascii="Times New Roman" w:eastAsiaTheme="minorEastAsia" w:hAnsi="Times New Roman" w:cs="Times New Roman"/>
          <w:sz w:val="24"/>
          <w:szCs w:val="24"/>
        </w:rPr>
        <w:t>(20 nm) sample</w:t>
      </w:r>
      <w:r w:rsidR="002A72DC">
        <w:rPr>
          <w:rFonts w:ascii="Times New Roman" w:eastAsiaTheme="minorEastAsia" w:hAnsi="Times New Roman" w:cs="Times New Roman"/>
          <w:sz w:val="24"/>
          <w:szCs w:val="24"/>
        </w:rPr>
        <w:t xml:space="preserve"> - which is most-likely to possess residual, un-oxidized </w:t>
      </w:r>
      <w:proofErr w:type="spellStart"/>
      <w:r w:rsidR="002A72DC">
        <w:rPr>
          <w:rFonts w:ascii="Times New Roman" w:eastAsiaTheme="minorEastAsia" w:hAnsi="Times New Roman" w:cs="Times New Roman"/>
          <w:sz w:val="24"/>
          <w:szCs w:val="24"/>
        </w:rPr>
        <w:t>Gd</w:t>
      </w:r>
      <w:proofErr w:type="spellEnd"/>
      <w:r w:rsidR="002A72DC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="00507465">
        <w:rPr>
          <w:rFonts w:ascii="Times New Roman" w:eastAsiaTheme="minorEastAsia" w:hAnsi="Times New Roman" w:cs="Times New Roman"/>
          <w:sz w:val="24"/>
          <w:szCs w:val="24"/>
        </w:rPr>
        <w:t xml:space="preserve"> in a 10 Oe out-of-plane field shows no evidence for magnetism in the range from 100 K to 5</w:t>
      </w:r>
      <w:r w:rsidR="00DB6E27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507465"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064AB0">
        <w:rPr>
          <w:rFonts w:ascii="Times New Roman" w:eastAsiaTheme="minorEastAsia" w:hAnsi="Times New Roman" w:cs="Times New Roman"/>
          <w:sz w:val="24"/>
          <w:szCs w:val="24"/>
        </w:rPr>
        <w:t xml:space="preserve"> (Fig. S2)</w:t>
      </w:r>
      <w:r w:rsidR="00507465">
        <w:rPr>
          <w:rFonts w:ascii="Times New Roman" w:eastAsiaTheme="minorEastAsia" w:hAnsi="Times New Roman" w:cs="Times New Roman"/>
          <w:sz w:val="24"/>
          <w:szCs w:val="24"/>
        </w:rPr>
        <w:t>, indicating that the Gd has likely oxidized.</w:t>
      </w:r>
    </w:p>
    <w:p w14:paraId="11C6213E" w14:textId="78F611ED" w:rsidR="004D5DD6" w:rsidRDefault="004D5DD6" w:rsidP="004D5DD6">
      <w:pPr>
        <w:rPr>
          <w:rFonts w:ascii="Times New Roman" w:hAnsi="Times New Roman" w:cs="Times New Roman"/>
          <w:sz w:val="24"/>
          <w:szCs w:val="24"/>
        </w:rPr>
      </w:pPr>
    </w:p>
    <w:p w14:paraId="131A991A" w14:textId="13AE7D9D" w:rsidR="004D5DD6" w:rsidRDefault="004D5DD6" w:rsidP="001356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lang w:eastAsia="zh-CN"/>
        </w:rPr>
        <w:lastRenderedPageBreak/>
        <w:drawing>
          <wp:inline distT="0" distB="0" distL="0" distR="0" wp14:anchorId="1EC0E968" wp14:editId="38A28B78">
            <wp:extent cx="3594201" cy="3352799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01" cy="335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99C6" w14:textId="630B5975" w:rsidR="00C3686D" w:rsidRDefault="00082FFE" w:rsidP="001119F1">
      <w:pPr>
        <w:jc w:val="both"/>
        <w:rPr>
          <w:rFonts w:ascii="Times New Roman" w:hAnsi="Times New Roman" w:cs="Times New Roman"/>
          <w:sz w:val="24"/>
          <w:szCs w:val="24"/>
        </w:rPr>
      </w:pPr>
      <w:r w:rsidRPr="004D5DD6">
        <w:rPr>
          <w:rFonts w:ascii="Times New Roman" w:hAnsi="Times New Roman" w:cs="Times New Roman"/>
          <w:b/>
          <w:sz w:val="24"/>
          <w:szCs w:val="24"/>
        </w:rPr>
        <w:t xml:space="preserve">Fig. S1. </w:t>
      </w:r>
      <w:bookmarkStart w:id="3" w:name="_Hlk527809570"/>
      <w:r w:rsidRPr="004D5DD6">
        <w:rPr>
          <w:rFonts w:ascii="Times New Roman" w:hAnsi="Times New Roman" w:cs="Times New Roman"/>
          <w:b/>
          <w:sz w:val="24"/>
          <w:szCs w:val="24"/>
        </w:rPr>
        <w:t>Neutron reflectometry profiles</w:t>
      </w:r>
      <w:bookmarkEnd w:id="3"/>
      <w:r w:rsidRPr="004D5DD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D5DD6">
        <w:rPr>
          <w:rFonts w:ascii="Times New Roman" w:hAnsi="Times New Roman" w:cs="Times New Roman"/>
          <w:sz w:val="24"/>
          <w:szCs w:val="24"/>
        </w:rPr>
        <w:t>Specular neutron reflectivities of the non-spin-flip channels (</w:t>
      </w:r>
      <m:oMath>
        <m:r>
          <w:rPr>
            <w:rFonts w:ascii="Cambria Math" w:hAnsi="Cambria Math" w:cs="Times New Roman"/>
            <w:sz w:val="24"/>
            <w:szCs w:val="24"/>
          </w:rPr>
          <m:t>R++</m:t>
        </m:r>
      </m:oMath>
      <w:r w:rsidRPr="004D5D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5DD6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R--</m:t>
        </m:r>
      </m:oMath>
      <w:r w:rsidRPr="004D5DD6">
        <w:rPr>
          <w:rFonts w:ascii="Times New Roman" w:hAnsi="Times New Roman" w:cs="Times New Roman"/>
          <w:sz w:val="24"/>
          <w:szCs w:val="24"/>
        </w:rPr>
        <w:t xml:space="preserve">) shown as a function of scattering vector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 w:rsidRPr="004D5DD6">
        <w:rPr>
          <w:rFonts w:ascii="Times New Roman" w:hAnsi="Times New Roman" w:cs="Times New Roman"/>
          <w:sz w:val="24"/>
          <w:szCs w:val="24"/>
        </w:rPr>
        <w:t xml:space="preserve"> for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A</w:t>
      </w:r>
      <w:r w:rsidR="001119F1" w:rsidRPr="004D5DD6">
        <w:rPr>
          <w:rFonts w:ascii="Times New Roman" w:hAnsi="Times New Roman" w:cs="Times New Roman"/>
          <w:sz w:val="24"/>
          <w:szCs w:val="24"/>
        </w:rPr>
        <w:t>)</w:t>
      </w:r>
      <w:r w:rsidR="001119F1">
        <w:rPr>
          <w:rFonts w:ascii="Times New Roman" w:hAnsi="Times New Roman" w:cs="Times New Roman"/>
          <w:sz w:val="24"/>
          <w:szCs w:val="24"/>
        </w:rPr>
        <w:t xml:space="preserve"> </w:t>
      </w:r>
      <w:r w:rsidRPr="004D5DD6">
        <w:rPr>
          <w:rFonts w:ascii="Times New Roman" w:hAnsi="Times New Roman" w:cs="Times New Roman"/>
          <w:sz w:val="24"/>
          <w:szCs w:val="24"/>
        </w:rPr>
        <w:t xml:space="preserve">the as-grown,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B</w:t>
      </w:r>
      <w:r w:rsidR="001119F1" w:rsidRPr="004D5DD6">
        <w:rPr>
          <w:rFonts w:ascii="Times New Roman" w:hAnsi="Times New Roman" w:cs="Times New Roman"/>
          <w:sz w:val="24"/>
          <w:szCs w:val="24"/>
        </w:rPr>
        <w:t>)</w:t>
      </w:r>
      <w:r w:rsidR="00111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DD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D5DD6">
        <w:rPr>
          <w:rFonts w:ascii="Times New Roman" w:hAnsi="Times New Roman" w:cs="Times New Roman"/>
          <w:sz w:val="24"/>
          <w:szCs w:val="24"/>
        </w:rPr>
        <w:t xml:space="preserve"> (3 nm), </w:t>
      </w:r>
      <w:r w:rsidR="003A3DDC">
        <w:rPr>
          <w:rFonts w:ascii="Times New Roman" w:hAnsi="Times New Roman" w:cs="Times New Roman"/>
          <w:sz w:val="24"/>
          <w:szCs w:val="24"/>
        </w:rPr>
        <w:t xml:space="preserve">and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C</w:t>
      </w:r>
      <w:r w:rsidR="001119F1" w:rsidRPr="004D5DD6">
        <w:rPr>
          <w:rFonts w:ascii="Times New Roman" w:hAnsi="Times New Roman" w:cs="Times New Roman"/>
          <w:sz w:val="24"/>
          <w:szCs w:val="24"/>
        </w:rPr>
        <w:t>)</w:t>
      </w:r>
      <w:r w:rsidR="00111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DD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D5DD6">
        <w:rPr>
          <w:rFonts w:ascii="Times New Roman" w:hAnsi="Times New Roman" w:cs="Times New Roman"/>
          <w:sz w:val="24"/>
          <w:szCs w:val="24"/>
        </w:rPr>
        <w:t xml:space="preserve"> (7 nm) samples. In all panels, symbols denote experimental data</w:t>
      </w:r>
      <w:r w:rsidR="007004D7">
        <w:rPr>
          <w:rFonts w:ascii="Times New Roman" w:hAnsi="Times New Roman" w:cs="Times New Roman"/>
          <w:sz w:val="24"/>
          <w:szCs w:val="24"/>
        </w:rPr>
        <w:t xml:space="preserve"> with uncertainty</w:t>
      </w:r>
      <w:r w:rsidRPr="004D5DD6">
        <w:rPr>
          <w:rFonts w:ascii="Times New Roman" w:hAnsi="Times New Roman" w:cs="Times New Roman"/>
          <w:sz w:val="24"/>
          <w:szCs w:val="24"/>
        </w:rPr>
        <w:t>, with fits corresponding to the models from Fig. 4 of the main text shown as red and black lines.</w:t>
      </w:r>
    </w:p>
    <w:p w14:paraId="6A1C0134" w14:textId="77777777" w:rsidR="00C3686D" w:rsidRDefault="00C36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DF81B0" w14:textId="6AFD0E0D" w:rsidR="004D5DD6" w:rsidRDefault="00C3686D" w:rsidP="001119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77AA61FC" wp14:editId="513322A2">
            <wp:extent cx="3200400" cy="215165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5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101A9" w14:textId="2995E43D" w:rsidR="00C3686D" w:rsidRPr="006B6F49" w:rsidRDefault="00C3686D" w:rsidP="001119F1">
      <w:pPr>
        <w:jc w:val="both"/>
        <w:rPr>
          <w:rFonts w:ascii="Times New Roman" w:hAnsi="Times New Roman" w:cs="Times New Roman"/>
          <w:sz w:val="24"/>
          <w:szCs w:val="24"/>
        </w:rPr>
      </w:pPr>
      <w:r w:rsidRPr="006B6F49">
        <w:rPr>
          <w:rFonts w:ascii="Times New Roman" w:hAnsi="Times New Roman" w:cs="Times New Roman"/>
          <w:b/>
          <w:sz w:val="24"/>
          <w:szCs w:val="24"/>
        </w:rPr>
        <w:t>Fig. S2.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F49" w:rsidRPr="006B6F49">
        <w:rPr>
          <w:rFonts w:ascii="Times New Roman" w:hAnsi="Times New Roman" w:cs="Times New Roman"/>
          <w:b/>
          <w:sz w:val="24"/>
          <w:szCs w:val="24"/>
        </w:rPr>
        <w:t xml:space="preserve">Magnetometry of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Gd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=20</m:t>
        </m:r>
      </m:oMath>
      <w:r w:rsidR="006B6F49" w:rsidRPr="006B6F49">
        <w:rPr>
          <w:rFonts w:ascii="Times New Roman" w:eastAsiaTheme="minorEastAsia" w:hAnsi="Times New Roman" w:cs="Times New Roman"/>
          <w:b/>
          <w:sz w:val="24"/>
          <w:szCs w:val="24"/>
        </w:rPr>
        <w:t xml:space="preserve"> nm sample.</w:t>
      </w:r>
      <w:r w:rsidR="006B6F49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6B6F49" w:rsidRPr="006B6F49">
        <w:rPr>
          <w:rFonts w:ascii="Times New Roman" w:eastAsiaTheme="minorEastAsia" w:hAnsi="Times New Roman" w:cs="Times New Roman"/>
          <w:sz w:val="24"/>
          <w:szCs w:val="24"/>
        </w:rPr>
        <w:t>Magnetic moment shown as a function of temperature in the range from 5 – 100 K</w:t>
      </w:r>
      <w:r w:rsidR="006B6F49">
        <w:rPr>
          <w:rFonts w:ascii="Times New Roman" w:eastAsiaTheme="minorEastAsia" w:hAnsi="Times New Roman" w:cs="Times New Roman"/>
          <w:sz w:val="24"/>
          <w:szCs w:val="24"/>
        </w:rPr>
        <w:t>, indicated by symbols with uncertainty</w:t>
      </w:r>
      <w:r w:rsidR="006B6F49" w:rsidRPr="006B6F49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C3686D" w:rsidRPr="006B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D6"/>
    <w:rsid w:val="00064AB0"/>
    <w:rsid w:val="00082FFE"/>
    <w:rsid w:val="000836A8"/>
    <w:rsid w:val="000A1AB0"/>
    <w:rsid w:val="000B3151"/>
    <w:rsid w:val="000D26D6"/>
    <w:rsid w:val="001119F1"/>
    <w:rsid w:val="00135693"/>
    <w:rsid w:val="001708B0"/>
    <w:rsid w:val="001E7D14"/>
    <w:rsid w:val="00212DB6"/>
    <w:rsid w:val="002473BC"/>
    <w:rsid w:val="002A72DC"/>
    <w:rsid w:val="002F67B5"/>
    <w:rsid w:val="00396EDA"/>
    <w:rsid w:val="003A3DDC"/>
    <w:rsid w:val="00461EED"/>
    <w:rsid w:val="004D5DD6"/>
    <w:rsid w:val="00507465"/>
    <w:rsid w:val="00586C3D"/>
    <w:rsid w:val="005B5916"/>
    <w:rsid w:val="00652416"/>
    <w:rsid w:val="006B6F49"/>
    <w:rsid w:val="006C192E"/>
    <w:rsid w:val="007004D7"/>
    <w:rsid w:val="007303F1"/>
    <w:rsid w:val="00747E1D"/>
    <w:rsid w:val="00853B44"/>
    <w:rsid w:val="008D4488"/>
    <w:rsid w:val="009757DB"/>
    <w:rsid w:val="00AE1230"/>
    <w:rsid w:val="00B31196"/>
    <w:rsid w:val="00B84273"/>
    <w:rsid w:val="00B8594C"/>
    <w:rsid w:val="00C3686D"/>
    <w:rsid w:val="00D21FB9"/>
    <w:rsid w:val="00DB6E27"/>
    <w:rsid w:val="00DF5E93"/>
    <w:rsid w:val="00E42A5D"/>
    <w:rsid w:val="00EB1EFE"/>
    <w:rsid w:val="00F6259C"/>
    <w:rsid w:val="00F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8D73"/>
  <w15:chartTrackingRefBased/>
  <w15:docId w15:val="{84E8D56C-8887-415B-923E-BDFE0B44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DD6"/>
    <w:rPr>
      <w:color w:val="808080"/>
    </w:rPr>
  </w:style>
  <w:style w:type="paragraph" w:customStyle="1" w:styleId="Paragraph">
    <w:name w:val="Paragraph"/>
    <w:basedOn w:val="Normal"/>
    <w:rsid w:val="001119F1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">
    <w:name w:val="Head"/>
    <w:basedOn w:val="Normal"/>
    <w:rsid w:val="001119F1"/>
    <w:pPr>
      <w:keepNext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1119F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pdmurray</dc:creator>
  <cp:keywords/>
  <dc:description/>
  <cp:lastModifiedBy>Kai Liu</cp:lastModifiedBy>
  <cp:revision>2</cp:revision>
  <cp:lastPrinted>2019-03-19T13:37:00Z</cp:lastPrinted>
  <dcterms:created xsi:type="dcterms:W3CDTF">2019-03-20T12:44:00Z</dcterms:created>
  <dcterms:modified xsi:type="dcterms:W3CDTF">2019-03-20T12:44:00Z</dcterms:modified>
</cp:coreProperties>
</file>