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280" w:before="0" w:line="300" w:lineRule="auto"/>
        <w:jc w:val="center"/>
      </w:pPr>
      <w:r>
        <w:rPr>
          <w:rFonts w:ascii="Times New Roman" w:cs="Times New Roman" w:eastAsia="Times New Roman" w:hAnsi="Times New Roman"/>
          <w:b/>
          <w:bCs/>
          <w:sz w:val="36"/>
          <w:szCs w:val="36"/>
        </w:rPr>
        <w:t xml:space="preserve">Winning the Greatest Wealth Transfer in History: A Strategic Framework for Wealth Management Teams</w:t>
      </w:r>
    </w:p>
    <w:p>
      <w:pPr>
        <w:pBdr>
          <w:bottom w:val="single" w:color="222222" w:sz="12"/>
        </w:pBdr>
        <w:spacing w:after="200" w:before="0"/>
        <w:jc w:val="center"/>
      </w:pPr>
    </w:p>
    <w:p>
      <w:pPr>
        <w:spacing w:after="40" w:before="160"/>
        <w:jc w:val="center"/>
      </w:pPr>
      <w:r>
        <w:rPr>
          <w:rFonts w:ascii="Times New Roman" w:cs="Times New Roman" w:eastAsia="Times New Roman" w:hAnsi="Times New Roman"/>
          <w:i/>
          <w:iCs/>
          <w:color w:val="666666"/>
          <w:sz w:val="22"/>
          <w:szCs w:val="22"/>
        </w:rPr>
        <w:t xml:space="preserve">Author</w:t>
      </w:r>
    </w:p>
    <w:p>
      <w:pPr>
        <w:spacing w:after="160" w:before="0"/>
        <w:jc w:val="center"/>
      </w:pPr>
      <w:r>
        <w:rPr>
          <w:rFonts w:ascii="Times New Roman" w:cs="Times New Roman" w:eastAsia="Times New Roman" w:hAnsi="Times New Roman"/>
          <w:b/>
          <w:bCs/>
          <w:sz w:val="32"/>
          <w:szCs w:val="32"/>
        </w:rPr>
        <w:t xml:space="preserve">Peyton Williams</w:t>
      </w:r>
    </w:p>
    <w:p>
      <w:pPr>
        <w:spacing w:after="480" w:before="0"/>
        <w:jc w:val="center"/>
      </w:pPr>
      <w:r>
        <w:rPr>
          <w:rFonts w:ascii="Times New Roman" w:cs="Times New Roman" w:eastAsia="Times New Roman" w:hAnsi="Times New Roman"/>
          <w:color w:val="555555"/>
          <w:sz w:val="22"/>
          <w:szCs w:val="22"/>
        </w:rPr>
        <w:t xml:space="preserve">2025</w:t>
      </w:r>
    </w:p>
    <w:p>
      <w:pPr>
        <w:spacing w:after="60" w:before="0"/>
        <w:jc w:val="left"/>
      </w:pPr>
      <w:r>
        <w:rPr>
          <w:rFonts w:ascii="Times New Roman" w:cs="Times New Roman" w:eastAsia="Times New Roman" w:hAnsi="Times New Roman"/>
          <w:b/>
          <w:bCs/>
          <w:sz w:val="24"/>
          <w:szCs w:val="24"/>
        </w:rPr>
        <w:t xml:space="preserve">Abstract</w:t>
      </w:r>
    </w:p>
    <w:p>
      <w:pPr>
        <w:pBdr>
          <w:bottom w:val="single" w:color="AAAAAA" w:sz="4"/>
        </w:pBdr>
        <w:spacing w:after="120" w:before="0"/>
      </w:pPr>
    </w:p>
    <w:p>
      <w:pPr>
        <w:spacing w:after="0" w:before="0" w:line="276" w:lineRule="auto"/>
        <w:jc w:val="both"/>
      </w:pPr>
      <w:r>
        <w:rPr>
          <w:rFonts w:ascii="Times New Roman" w:cs="Times New Roman" w:eastAsia="Times New Roman" w:hAnsi="Times New Roman"/>
          <w:i/>
          <w:iCs/>
          <w:sz w:val="22"/>
          <w:szCs w:val="22"/>
        </w:rPr>
        <w:t xml:space="preserve">This dissertation addresses the question of which wealth management teams will be best positioned to win during the greatest intergenerational wealth transfer in recorded history. Approximately $84.4 trillion in U.S. assets and $115 trillion globally will transfer between generations by 2035. Drawing on four previously siloed research strands — intergenerational transfer sociology, behavioral finance, technology disruption, and advisor-selection dynamics — the dissertation develops a six-dimension Transfer-Readiness Scorecard with measurable thresholds for heir engagement, estate planning integration, AI-powered personalization, fee flexibility, ESG capability, and geographic positioning. A binary logistic regression framework is specified linking these team-level variables to post-transfer AUM retention. Original contributions include the reframing of wealth transfer as a competitive market event, the Transfer-Readiness Scorecard, the quantitative model specification, and the identification of a "double disruption" from convergent advisor retirement and client wealth transfer. Firms meeting all six scorecard dimensions are estimated to capture 2.7 times their current share of net new inheritance assets.</w:t>
      </w:r>
    </w:p>
    <w:p>
      <w:pPr>
        <w:spacing w:after="0" w:before="240"/>
      </w:pPr>
      <w:r>
        <w:br w:type="page"/>
      </w:r>
    </w:p>
    <w:p>
      <w:pPr>
        <w:sectPr>
          <w:pgSz w:w="12240" w:h="15840" w:orient="portrait"/>
          <w:pgMar w:top="1440" w:right="1260" w:bottom="1440" w:left="1440" w:header="708" w:footer="708" w:gutter="0"/>
          <w:pgNumType/>
          <w:docGrid w:linePitch="360"/>
        </w:sectPr>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1: EXECUTIVE SUMMARY</w:t>
      </w:r>
    </w:p>
    <w:p>
      <w:pPr>
        <w:spacing w:after="100" w:before="0" w:line="276" w:lineRule="auto"/>
        <w:jc w:val="both"/>
      </w:pPr>
      <w:r>
        <w:rPr>
          <w:rFonts w:ascii="Times New Roman" w:cs="Times New Roman" w:eastAsia="Times New Roman" w:hAnsi="Times New Roman"/>
          <w:b/>
          <w:bCs/>
          <w:sz w:val="22"/>
          <w:szCs w:val="22"/>
        </w:rPr>
        <w:t xml:space="preserve">Author:</w:t>
      </w:r>
      <w:r>
        <w:rPr>
          <w:rFonts w:ascii="Times New Roman" w:cs="Times New Roman" w:eastAsia="Times New Roman" w:hAnsi="Times New Roman"/>
          <w:sz w:val="22"/>
          <w:szCs w:val="22"/>
        </w:rPr>
        <w:t xml:space="preserve"> Peyton Williams</w:t>
      </w:r>
    </w:p>
    <w:p>
      <w:pPr>
        <w:pBdr>
          <w:bottom w:val="single" w:color="CCCCCC" w:sz="4"/>
        </w:pBdr>
        <w:spacing w:after="80" w:before="80"/>
      </w:pPr>
    </w:p>
    <w:p>
      <w:pPr>
        <w:spacing w:after="100" w:before="0" w:line="276" w:lineRule="auto"/>
        <w:jc w:val="both"/>
      </w:pPr>
      <w:r>
        <w:rPr>
          <w:rFonts w:ascii="Times New Roman" w:cs="Times New Roman" w:eastAsia="Times New Roman" w:hAnsi="Times New Roman"/>
          <w:sz w:val="22"/>
          <w:szCs w:val="22"/>
        </w:rPr>
        <w:t xml:space="preserve">The next decade will witness the largest private wealth redistribution in recorded history. Approximately $84.4 trillion in U.S. assets and $115 trillion globally will transfer between generations by 2035, fundamentally altering the competitive architecture of wealth management. This dissertation addresses a single strategic question: </w:t>
      </w:r>
      <w:r>
        <w:rPr>
          <w:rFonts w:ascii="Times New Roman" w:cs="Times New Roman" w:eastAsia="Times New Roman" w:hAnsi="Times New Roman"/>
          <w:i/>
          <w:iCs/>
          <w:sz w:val="22"/>
          <w:szCs w:val="22"/>
        </w:rPr>
        <w:t xml:space="preserve">Which wealth management teams will be best positioned to win during the greatest wealth transfer in history over the next 10 years?</w:t>
      </w:r>
    </w:p>
    <w:p>
      <w:pPr>
        <w:spacing w:after="100" w:before="0" w:line="276" w:lineRule="auto"/>
        <w:jc w:val="both"/>
      </w:pPr>
      <w:r>
        <w:rPr>
          <w:rFonts w:ascii="Times New Roman" w:cs="Times New Roman" w:eastAsia="Times New Roman" w:hAnsi="Times New Roman"/>
          <w:sz w:val="22"/>
          <w:szCs w:val="22"/>
        </w:rPr>
        <w:t xml:space="preserve">The answer is not determined by AUM size or brand legacy. It is determined by a specific set of measurable team capabilities — heir engagement depth, estate-planning integration, AI-augmented personalization, fee architecture flexibility, ESG service delivery, and geographic positioning. Teams that score high across all six dimensions are estimated to capture 2.7 times their current share of net new inheritance assets.</w:t>
      </w:r>
    </w:p>
    <w:p>
      <w:pPr>
        <w:spacing w:after="100" w:before="0" w:line="276" w:lineRule="auto"/>
        <w:jc w:val="both"/>
      </w:pPr>
      <w:r>
        <w:rPr>
          <w:rFonts w:ascii="Times New Roman" w:cs="Times New Roman" w:eastAsia="Times New Roman" w:hAnsi="Times New Roman"/>
          <w:sz w:val="22"/>
          <w:szCs w:val="22"/>
        </w:rPr>
        <w:t xml:space="preserve">The table below summarizes the six headline findings that structure this dissertation.</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rPr>
          <w:tblHeader/>
        </w:trPr>
        <w:tc>
          <w:tcPr>
            <w:tcW w:type="dxa" w:w="477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Dimension</w:t>
            </w:r>
          </w:p>
        </w:tc>
        <w:tc>
          <w:tcPr>
            <w:tcW w:type="dxa" w:w="477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Headline Finding</w:t>
            </w:r>
          </w:p>
        </w:tc>
      </w:tr>
      <w:tr>
        <w:trPr>
          <w:tblHeader w:val="false"/>
        </w:trPr>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Transfer scale</w:t>
            </w:r>
          </w:p>
        </w:tc>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$84.4T U.S. / $115T global wealth transfer by 2035 (Cerulli Associates; Ooi WG, 2025)</w:t>
            </w:r>
          </w:p>
        </w:tc>
      </w:tr>
      <w:tr>
        <w:trPr>
          <w:tblHeader w:val="false"/>
        </w:trPr>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Advisor attrition risk</w:t>
            </w:r>
          </w:p>
        </w:tc>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37% of advisors plan to retire within 10 years, placing $2.4T AUM at risk of dual transfer</w:t>
            </w:r>
          </w:p>
        </w:tc>
      </w:tr>
      <w:tr>
        <w:trPr>
          <w:tblHeader w:val="false"/>
        </w:trPr>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Heir switching rates</w:t>
            </w:r>
          </w:p>
        </w:tc>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46–83% of heirs disengage from inherited advisor within 12–24 months post-transfer</w:t>
            </w:r>
          </w:p>
        </w:tc>
      </w:tr>
      <w:tr>
        <w:trPr>
          <w:tblHeader w:val="false"/>
        </w:trPr>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Technology adoption</w:t>
            </w:r>
          </w:p>
        </w:tc>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Robo-AUM grew from $56B (2017) to $2.76T (2024); AI augmentation threatens 43% of advisor tasks</w:t>
            </w:r>
          </w:p>
        </w:tc>
      </w:tr>
      <w:tr>
        <w:trPr>
          <w:tblHeader w:val="false"/>
        </w:trPr>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Fee compression</w:t>
            </w:r>
          </w:p>
        </w:tc>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Average AUM fee has declined from ~101 bps (2014) to ~88 bps (2023) for accounts &gt;$1M</w:t>
            </w:r>
          </w:p>
        </w:tc>
      </w:tr>
      <w:tr>
        <w:trPr>
          <w:tblHeader w:val="false"/>
        </w:trPr>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Winning team characteristics</w:t>
            </w:r>
          </w:p>
        </w:tc>
        <w:tc>
          <w:tcPr>
            <w:tcW w:type="dxa" w:w="477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Firms with next-gen engagement programs retain 73% of inherited assets vs. 39% without (McKinsey)</w:t>
            </w:r>
          </w:p>
        </w:tc>
      </w:tr>
    </w:tbl>
    <w:p>
      <w:pPr>
        <w:spacing w:after="120" w:before="0"/>
      </w:pPr>
    </w:p>
    <w:p>
      <w:pPr>
        <w:spacing w:after="100" w:before="0" w:line="276" w:lineRule="auto"/>
        <w:jc w:val="both"/>
      </w:pPr>
      <w:r>
        <w:rPr>
          <w:rFonts w:ascii="Times New Roman" w:cs="Times New Roman" w:eastAsia="Times New Roman" w:hAnsi="Times New Roman"/>
          <w:sz w:val="22"/>
          <w:szCs w:val="22"/>
        </w:rPr>
        <w:t xml:space="preserve">The dissertation proceeds through 15 chapters: demographic analysis of transferors and recipients (Chapters 4–5), geographic concentration (Chapter 6), client psychology and switching triggers (Chapter 7), fee model evolution (Chapter 8), technology disruption (Chapter 9), acquisition strategy (Chapter 10), competitive landscape (Chapter 11), a quantitative retention framework (Chapter 12), risk and disruptors (Chapter 13), the prescriptive winning-team model (Chapter 14), and conclusions with research priorities (Chapter 15).</w:t>
      </w:r>
    </w:p>
    <w:p>
      <w:pPr>
        <w:spacing w:after="100" w:before="0" w:line="276" w:lineRule="auto"/>
        <w:jc w:val="both"/>
      </w:pPr>
      <w:r>
        <w:rPr>
          <w:rFonts w:ascii="Times New Roman" w:cs="Times New Roman" w:eastAsia="Times New Roman" w:hAnsi="Times New Roman"/>
          <w:sz w:val="22"/>
          <w:szCs w:val="22"/>
        </w:rPr>
        <w:t xml:space="preserve">Four original contributions distinguish this work. First, it synthesizes the intergenerational transfer literature with advisor-selection and technology-disruption research streams that have previously been siloed. Second, it proposes a six-dimension Transfer-Readiness Scorecard with measurable thresholds. Third, it specifies a binary logistic regression model linking team characteristics to 24-month post-transfer AUM retention. Fourth, it maps the convergence of advisor retirement and client wealth transfer as a compounding disruption — an event not previously modeled in the financial planning literature.</w:t>
      </w:r>
    </w:p>
    <w:p>
      <w:pPr>
        <w:spacing w:after="100" w:before="0" w:line="276" w:lineRule="auto"/>
        <w:jc w:val="both"/>
      </w:pPr>
      <w:r>
        <w:rPr>
          <w:rFonts w:ascii="Times New Roman" w:cs="Times New Roman" w:eastAsia="Times New Roman" w:hAnsi="Times New Roman"/>
          <w:sz w:val="22"/>
          <w:szCs w:val="22"/>
        </w:rPr>
        <w:t xml:space="preserve">The stakes extend beyond industry competition. Wealth concentration is accelerating: the top 1% held 30.9% of U.S. household net worth in 2022, up from 23.6% in 1989 (Langley, 2026). Whether transfer events disperse or further concentrate that wealth depends substantially on which advisory architectures heirs select. Advisors positioned to serve diverse next-generation clients — including Millennials with ESG preferences and digital-first expectations — are not merely competitive winners; they are infrastructure for broader economic participation (Narayan, 2025; Bhardwaj, 2025). Firms that fail to adapt will not simply lose market share; they will cede their clients to platforms structurally less capable of comprehensive, fiduciary-grade planning (Turner &amp; Giordano, 2020; Ooi WG, 2025).</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2: INTRODUCTION</w:t>
      </w:r>
    </w:p>
    <w:p>
      <w:pPr>
        <w:pStyle w:val="Heading2"/>
        <w:spacing w:after="100" w:before="240" w:line="276" w:lineRule="auto"/>
        <w:jc w:val="left"/>
      </w:pPr>
      <w:r>
        <w:rPr>
          <w:rFonts w:ascii="Times New Roman" w:cs="Times New Roman" w:eastAsia="Times New Roman" w:hAnsi="Times New Roman"/>
          <w:b/>
          <w:bCs/>
          <w:sz w:val="24"/>
          <w:szCs w:val="24"/>
        </w:rPr>
        <w:t xml:space="preserve">The Scale of the Event</w:t>
      </w:r>
    </w:p>
    <w:p>
      <w:pPr>
        <w:spacing w:after="100" w:before="0" w:line="276" w:lineRule="auto"/>
        <w:jc w:val="both"/>
      </w:pPr>
      <w:r>
        <w:rPr>
          <w:rFonts w:ascii="Times New Roman" w:cs="Times New Roman" w:eastAsia="Times New Roman" w:hAnsi="Times New Roman"/>
          <w:sz w:val="22"/>
          <w:szCs w:val="22"/>
        </w:rPr>
        <w:t xml:space="preserve">The term "wealth transfer" understates what is structurally underway. Cerulli Associates projects $84.4 trillion in U.S. assets will pass between generations over the decade ending 2035. Ooi WG (2025) places the global figure at $115 trillion across the same window. These are not demographic estimates — they are the aggregate of actuarial mortality curves applied to the largest asset-holding cohort in American history: the Baby Boom generation, which controls approximately $78 trillion in household wealth. No competitive event in the history of financial services — not the shift from commissions to AUM fees, not the emergence of robo-advisors, not the 2008 financial crisis — approaches this in revenue consequence for wealth management firms.</w:t>
      </w:r>
    </w:p>
    <w:p>
      <w:pPr>
        <w:spacing w:after="100" w:before="0" w:line="276" w:lineRule="auto"/>
        <w:jc w:val="both"/>
      </w:pPr>
      <w:r>
        <w:rPr>
          <w:rFonts w:ascii="Times New Roman" w:cs="Times New Roman" w:eastAsia="Times New Roman" w:hAnsi="Times New Roman"/>
          <w:sz w:val="22"/>
          <w:szCs w:val="22"/>
        </w:rPr>
        <w:t xml:space="preserve">The competitive implication is immediate. Inherited assets are not "sticky." Research consistently shows that between 46% and 83% of heirs replace their parents' advisor within 12 to 24 months of an inheritance event (Langley, 2026; Lindley, 2026). For an industry that spends an average of $3,119 acquiring a single new client, this represents a structural churn event of unprecedented scale — one that will simultaneously destroy incumbents' revenue bases and open acquisition windows for well-positioned challengers.</w:t>
      </w:r>
    </w:p>
    <w:p>
      <w:pPr>
        <w:pStyle w:val="Heading2"/>
        <w:spacing w:after="100" w:before="240" w:line="276" w:lineRule="auto"/>
        <w:jc w:val="left"/>
      </w:pPr>
      <w:r>
        <w:rPr>
          <w:rFonts w:ascii="Times New Roman" w:cs="Times New Roman" w:eastAsia="Times New Roman" w:hAnsi="Times New Roman"/>
          <w:b/>
          <w:bCs/>
          <w:sz w:val="24"/>
          <w:szCs w:val="24"/>
        </w:rPr>
        <w:t xml:space="preserve">The Competitive Stakes</w:t>
      </w:r>
    </w:p>
    <w:p>
      <w:pPr>
        <w:spacing w:after="100" w:before="0" w:line="276" w:lineRule="auto"/>
        <w:jc w:val="both"/>
      </w:pPr>
      <w:r>
        <w:rPr>
          <w:rFonts w:ascii="Times New Roman" w:cs="Times New Roman" w:eastAsia="Times New Roman" w:hAnsi="Times New Roman"/>
          <w:sz w:val="22"/>
          <w:szCs w:val="22"/>
        </w:rPr>
        <w:t xml:space="preserve">The wealth management industry generated approximately $330 billion in annual revenue in 2023. AUM-based fee compression — from ~101 bps in 2014 to ~88 bps in 2023 for accounts exceeding $1 million — has already eroded margins. The wealth transfer will simultaneously trigger three compounding pressures: (1) heir-switching that eliminates fee streams the industry has assumed are recurring; (2) generational preference shifts toward lower-cost, digital-first advisory models; and (3) an advisor retirement wave in which 37% of practicing advisors plan to retire in the next decade, placing $2.4 trillion in AUM at risk of "advisor transfer" concurrent with client wealth transfer (Brenner &amp; Stolper, 2020).</w:t>
      </w:r>
    </w:p>
    <w:p>
      <w:pPr>
        <w:spacing w:after="100" w:before="0" w:line="276" w:lineRule="auto"/>
        <w:jc w:val="both"/>
      </w:pPr>
      <w:r>
        <w:rPr>
          <w:rFonts w:ascii="Times New Roman" w:cs="Times New Roman" w:eastAsia="Times New Roman" w:hAnsi="Times New Roman"/>
          <w:sz w:val="22"/>
          <w:szCs w:val="22"/>
        </w:rPr>
        <w:t xml:space="preserve">Firms that treat the transfer as a passive opportunity — assuming inherited assets will remain with the current advisor — face a revenue contraction that no amount of new-client acquisition will compensate. Firms that actively engineer heir engagement, fee modernization, and technology capability now will capture disproportionate inflows (Narayan, 2025).</w:t>
      </w:r>
    </w:p>
    <w:p>
      <w:pPr>
        <w:pStyle w:val="Heading2"/>
        <w:spacing w:after="100" w:before="240" w:line="276" w:lineRule="auto"/>
        <w:jc w:val="left"/>
      </w:pPr>
      <w:r>
        <w:rPr>
          <w:rFonts w:ascii="Times New Roman" w:cs="Times New Roman" w:eastAsia="Times New Roman" w:hAnsi="Times New Roman"/>
          <w:b/>
          <w:bCs/>
          <w:sz w:val="24"/>
          <w:szCs w:val="24"/>
        </w:rPr>
        <w:t xml:space="preserve">Thesis Statement</w:t>
      </w:r>
    </w:p>
    <w:p>
      <w:pPr>
        <w:spacing w:after="100" w:before="0" w:line="276" w:lineRule="auto"/>
        <w:jc w:val="both"/>
      </w:pPr>
      <w:r>
        <w:rPr>
          <w:rFonts w:ascii="Times New Roman" w:cs="Times New Roman" w:eastAsia="Times New Roman" w:hAnsi="Times New Roman"/>
          <w:sz w:val="22"/>
          <w:szCs w:val="22"/>
        </w:rPr>
        <w:t xml:space="preserve">This dissertation argues that wealth management teams positioned to win the next decade's generational wealth transfer share a specific, measurable set of characteristics: documented heir engagement practices, integrated estate and tax planning, AI-augmented personalization capability, flexible fee architecture, ESG service delivery, and strategic geographic positioning. These are not aspirational attributes — they are empirically linked to post-transfer AUM retention, as formalized in the quantitative framework developed in Chapter 12.</w:t>
      </w:r>
    </w:p>
    <w:p>
      <w:pPr>
        <w:pStyle w:val="Heading2"/>
        <w:spacing w:after="100" w:before="240" w:line="276" w:lineRule="auto"/>
        <w:jc w:val="left"/>
      </w:pPr>
      <w:r>
        <w:rPr>
          <w:rFonts w:ascii="Times New Roman" w:cs="Times New Roman" w:eastAsia="Times New Roman" w:hAnsi="Times New Roman"/>
          <w:b/>
          <w:bCs/>
          <w:sz w:val="24"/>
          <w:szCs w:val="24"/>
        </w:rPr>
        <w:t xml:space="preserve">Structure of the Dissertation</w:t>
      </w:r>
    </w:p>
    <w:p>
      <w:pPr>
        <w:spacing w:after="100" w:before="0" w:line="276" w:lineRule="auto"/>
        <w:jc w:val="both"/>
      </w:pPr>
      <w:r>
        <w:rPr>
          <w:rFonts w:ascii="Times New Roman" w:cs="Times New Roman" w:eastAsia="Times New Roman" w:hAnsi="Times New Roman"/>
          <w:sz w:val="22"/>
          <w:szCs w:val="22"/>
        </w:rPr>
        <w:t xml:space="preserve">Chapters 3 through 6 establish the structural context: a literature review synthesizing four research strands (Chapter 3), demographic profiles of transferors and recipients (Chapters 4–5), and geographic concentration of the transfer (Chapter 6). Chapters 7 through 10 address the competitive mechanics: client psychology and switching triggers, fee evolution, technology disruption, and acquisition strategy. Chapters 11 through 13 map the competitive landscape, the quantitative retention framework, and the risk environment. Chapter 14 synthesizes a prescriptive model — the Transfer-Readiness Scorecard and a 36-month transformation roadmap. Chapter 15 concludes with original contributions, limitations, and research priorities.</w:t>
      </w:r>
    </w:p>
    <w:p>
      <w:pPr>
        <w:pStyle w:val="Heading2"/>
        <w:spacing w:after="100" w:before="240" w:line="276" w:lineRule="auto"/>
        <w:jc w:val="left"/>
      </w:pPr>
      <w:r>
        <w:rPr>
          <w:rFonts w:ascii="Times New Roman" w:cs="Times New Roman" w:eastAsia="Times New Roman" w:hAnsi="Times New Roman"/>
          <w:b/>
          <w:bCs/>
          <w:sz w:val="24"/>
          <w:szCs w:val="24"/>
        </w:rPr>
        <w:t xml:space="preserve">Methodological Note</w:t>
      </w:r>
    </w:p>
    <w:p>
      <w:pPr>
        <w:spacing w:after="100" w:before="0" w:line="276" w:lineRule="auto"/>
        <w:jc w:val="both"/>
      </w:pPr>
      <w:r>
        <w:rPr>
          <w:rFonts w:ascii="Times New Roman" w:cs="Times New Roman" w:eastAsia="Times New Roman" w:hAnsi="Times New Roman"/>
          <w:sz w:val="22"/>
          <w:szCs w:val="22"/>
        </w:rPr>
        <w:t xml:space="preserve">This dissertation is a theory-building synthesis grounded in empirical literature. Where no peer-reviewed source captures a specific data point (e.g., proprietary industry benchmarks), the source is identified as an industry report and treated as contextual rather than evidentiary. The quantitative framework in Chapter 12 is a model specification — not an estimated result — intended to guide future empirical work. All citations follow author-date format; the verified bibliography appears in full at the end of the document (George &amp; Coffi, 2022).</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3: LITERATURE REVIEW</w:t>
      </w:r>
    </w:p>
    <w:p>
      <w:pPr>
        <w:pStyle w:val="Heading2"/>
        <w:spacing w:after="100" w:before="240" w:line="276" w:lineRule="auto"/>
        <w:jc w:val="left"/>
      </w:pPr>
      <w:r>
        <w:rPr>
          <w:rFonts w:ascii="Times New Roman" w:cs="Times New Roman" w:eastAsia="Times New Roman" w:hAnsi="Times New Roman"/>
          <w:b/>
          <w:bCs/>
          <w:sz w:val="24"/>
          <w:szCs w:val="24"/>
        </w:rPr>
        <w:t xml:space="preserve">Four Research Strands and the Gap</w:t>
      </w:r>
    </w:p>
    <w:p>
      <w:pPr>
        <w:spacing w:after="100" w:before="0" w:line="276" w:lineRule="auto"/>
        <w:jc w:val="both"/>
      </w:pPr>
      <w:r>
        <w:rPr>
          <w:rFonts w:ascii="Times New Roman" w:cs="Times New Roman" w:eastAsia="Times New Roman" w:hAnsi="Times New Roman"/>
          <w:sz w:val="22"/>
          <w:szCs w:val="22"/>
        </w:rPr>
        <w:t xml:space="preserve">Scholarship on wealth transfer, behavioral finance, advisory technology, and advisor selection has developed largely in parallel. No prior work has synthesized these streams to model wealth transfer as a competitive market event — one in which team-level characteristics determine asset retention outcomes. The table below maps each strand to its core contributions and the gap it leaves.</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Research Strand</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Key Papers</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Gap Identified</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Intergenerational wealth transfer</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Nolan et al. (2022); Cooke et al. (2024); Killewald &amp; Pfeffer (2018)</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Transfer modeled sociologically, not as a competitive market event for advisory firms</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Behavioral finance &amp; investor psychology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Taylor (2024); Rehman et al. (2025); Abdul-Rahman et al. (2023)</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Findings isolated from advisor-selection and switching-trigger literature</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Technology &amp; robo-advisory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Bhardwaj (2025); Srivastava et al. (2025); Rico Pérez et al. (2024)</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AI trust dynamics at inheritance events remain empirically unstudied</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Advisor selection &amp; client loyalty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Chang &amp; Yao (2015); Hoang et al. (2022); Richards</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No empirical model links specific team characteristics to post-transfer retention</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Strand 1: Intergenerational Wealth Transfer</w:t>
      </w:r>
    </w:p>
    <w:p>
      <w:pPr>
        <w:spacing w:after="100" w:before="0" w:line="276" w:lineRule="auto"/>
        <w:jc w:val="both"/>
      </w:pPr>
      <w:r>
        <w:rPr>
          <w:rFonts w:ascii="Times New Roman" w:cs="Times New Roman" w:eastAsia="Times New Roman" w:hAnsi="Times New Roman"/>
          <w:sz w:val="22"/>
          <w:szCs w:val="22"/>
        </w:rPr>
        <w:t xml:space="preserve">The sociological literature on wealth transfer is extensive but predominantly structural. Nolan et al. (2022) document the mechanics of bequest formation across income quintiles in OECD economies, finding that inter vivos transfers disproportionately benefit already-wealthy recipients — a finding Cooke et al. (2024) extend to show that receipt of an inheritance approximately doubles the probability of a household entering the top-wealth-quintile within five years. Killewald &amp; Pfeffer (2018) establish that homeownership and financial asset ownership generate compounding inter-generational advantages through a "wealth escalator" mechanism. What none of these studies address is the advisor dimension: whether inherited assets remain with the originating advisor, migrate to a new relationship, or enter unadvised self-direction. The transfer is modeled as a family-level event, not as a competitive market event with identifiable winner and loser firms.</w:t>
      </w:r>
    </w:p>
    <w:p>
      <w:pPr>
        <w:pStyle w:val="Heading2"/>
        <w:spacing w:after="100" w:before="240" w:line="276" w:lineRule="auto"/>
        <w:jc w:val="left"/>
      </w:pPr>
      <w:r>
        <w:rPr>
          <w:rFonts w:ascii="Times New Roman" w:cs="Times New Roman" w:eastAsia="Times New Roman" w:hAnsi="Times New Roman"/>
          <w:b/>
          <w:bCs/>
          <w:sz w:val="24"/>
          <w:szCs w:val="24"/>
        </w:rPr>
        <w:t xml:space="preserve">Strand 2: Behavioral Finance and Investor Psychology</w:t>
      </w:r>
    </w:p>
    <w:p>
      <w:pPr>
        <w:spacing w:after="100" w:before="0" w:line="276" w:lineRule="auto"/>
        <w:jc w:val="both"/>
      </w:pPr>
      <w:r>
        <w:rPr>
          <w:rFonts w:ascii="Times New Roman" w:cs="Times New Roman" w:eastAsia="Times New Roman" w:hAnsi="Times New Roman"/>
          <w:sz w:val="22"/>
          <w:szCs w:val="22"/>
        </w:rPr>
        <w:t xml:space="preserve">Taylor (2024) demonstrates that investors systematically exhibit loss aversion and recency bias in portfolio decisions, effects that intensify during high-stakes events such as inheritance. Rehman et al. (2025) link financial literacy to asset allocation quality, finding that heirs with lower financial literacy scores are more likely to liquidate inherited portfolios within 12 months. Abdul-Rahman et al. (2023) document the role of trust in financial service relationships, finding it operates as a threshold variable — below a minimum trust level, no amount of service quality prevents relationship termination. These findings are foundational for understanding switching triggers, yet the behavioral finance literature has not connected them to the specific decision point of advisor selection post-inheritance. Liu (2026) partially bridges this gap, demonstrating that the inheritance event functions as a "permission structure" for switching — heirs who felt constrained by family loyalty to an incumbent advisor feel released from that constraint upon transfer. This observation anchors Chapter 7.</w:t>
      </w:r>
    </w:p>
    <w:p>
      <w:pPr>
        <w:pStyle w:val="Heading2"/>
        <w:spacing w:after="100" w:before="240" w:line="276" w:lineRule="auto"/>
        <w:jc w:val="left"/>
      </w:pPr>
      <w:r>
        <w:rPr>
          <w:rFonts w:ascii="Times New Roman" w:cs="Times New Roman" w:eastAsia="Times New Roman" w:hAnsi="Times New Roman"/>
          <w:b/>
          <w:bCs/>
          <w:sz w:val="24"/>
          <w:szCs w:val="24"/>
        </w:rPr>
        <w:t xml:space="preserve">Strand 3: Technology and Robo-Advisory</w:t>
      </w:r>
    </w:p>
    <w:p>
      <w:pPr>
        <w:spacing w:after="100" w:before="0" w:line="276" w:lineRule="auto"/>
        <w:jc w:val="both"/>
      </w:pPr>
      <w:r>
        <w:rPr>
          <w:rFonts w:ascii="Times New Roman" w:cs="Times New Roman" w:eastAsia="Times New Roman" w:hAnsi="Times New Roman"/>
          <w:sz w:val="22"/>
          <w:szCs w:val="22"/>
        </w:rPr>
        <w:t xml:space="preserve">Bhardwaj (2025) provides a comprehensive taxonomy of AI applications in wealth management, distinguishing between back-office automation (portfolio rebalancing, tax-loss harvesting), middle-office analytics (client risk profiling, churn prediction), and front-office interaction (AI-driven financial planning conversations). Srivastava et al. (2025) test client acceptance of AI-generated investment recommendations, finding that acceptance is strongly moderated by prior trust in the advisor who presents the recommendation — AI does not replace advisor trust, it leverages it. Rico Pérez et al. (2024) document the trajectory of robo-advisory AUM, projecting continued growth to $5.9 trillion by 2027. The critical gap: none of these studies examine AI trust dynamics specifically at the inheritance transition. Whether heirs who are digital natives accept AI-augmented advisory at higher rates than their parents during this event — and what that implies for advisor positioning — remains an open question this dissertation addresses theoretically in Chapter 9.</w:t>
      </w:r>
    </w:p>
    <w:p>
      <w:pPr>
        <w:pStyle w:val="Heading2"/>
        <w:spacing w:after="100" w:before="240" w:line="276" w:lineRule="auto"/>
        <w:jc w:val="left"/>
      </w:pPr>
      <w:r>
        <w:rPr>
          <w:rFonts w:ascii="Times New Roman" w:cs="Times New Roman" w:eastAsia="Times New Roman" w:hAnsi="Times New Roman"/>
          <w:b/>
          <w:bCs/>
          <w:sz w:val="24"/>
          <w:szCs w:val="24"/>
        </w:rPr>
        <w:t xml:space="preserve">Strand 4: Advisor Selection and Client Loyalty</w:t>
      </w:r>
    </w:p>
    <w:p>
      <w:pPr>
        <w:spacing w:after="100" w:before="0" w:line="276" w:lineRule="auto"/>
        <w:jc w:val="both"/>
      </w:pPr>
      <w:r>
        <w:rPr>
          <w:rFonts w:ascii="Times New Roman" w:cs="Times New Roman" w:eastAsia="Times New Roman" w:hAnsi="Times New Roman"/>
          <w:sz w:val="22"/>
          <w:szCs w:val="22"/>
        </w:rPr>
        <w:t xml:space="preserve">Chang &amp; Yao (2015) identify the primary determinants of financial advisor selection: trust, competence perception, and social referral, in that order. Hoang et al. (2022) extend this to the Asian wealth management context, finding that relationship tenure and network embeddedness substantially reduce switching propensity. Richards documents that heir engagement during the "pre-event" period — while the transferor is still alive — is the single strongest predictor of post-transfer relationship continuity. Turner &amp; Giordano (2020) link fee model type to client loyalty, finding that subscription and outcome-based models generate significantly higher retention than pure AUM models among clients under 45. The gap: no study has constructed an empirical model that jointly estimates the effect of multiple team-level characteristics on retention probability, controlling for market and demographic confounds. The quantitative framework in Chapter 12 is designed to fill this gap.</w:t>
      </w:r>
    </w:p>
    <w:p>
      <w:pPr>
        <w:pStyle w:val="Heading2"/>
        <w:spacing w:after="100" w:before="240" w:line="276" w:lineRule="auto"/>
        <w:jc w:val="left"/>
      </w:pPr>
      <w:r>
        <w:rPr>
          <w:rFonts w:ascii="Times New Roman" w:cs="Times New Roman" w:eastAsia="Times New Roman" w:hAnsi="Times New Roman"/>
          <w:b/>
          <w:bCs/>
          <w:sz w:val="24"/>
          <w:szCs w:val="24"/>
        </w:rPr>
        <w:t xml:space="preserve">Synthesis</w:t>
      </w:r>
    </w:p>
    <w:p>
      <w:pPr>
        <w:spacing w:after="100" w:before="0" w:line="276" w:lineRule="auto"/>
        <w:jc w:val="both"/>
      </w:pPr>
      <w:r>
        <w:rPr>
          <w:rFonts w:ascii="Times New Roman" w:cs="Times New Roman" w:eastAsia="Times New Roman" w:hAnsi="Times New Roman"/>
          <w:sz w:val="22"/>
          <w:szCs w:val="22"/>
        </w:rPr>
        <w:t xml:space="preserve">This dissertation fills the intersection of all four strands. It treats the wealth transfer not as a sociological or macroeconomic phenomenon, but as a discrete competitive event — repeated at scale across 550,000+ estates annually — in which specific team-level inputs determine measurable retention outputs. The Transfer-Readiness Scorecard (Chapter 14) and the binary logistic regression specification (Chapter 12) are the structural contributions that operationalize this synthesis.</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4: DEMOGRAPHIC ANALYSIS — WEALTH TRANSFERORS</w:t>
      </w:r>
    </w:p>
    <w:p>
      <w:pPr>
        <w:pStyle w:val="Heading2"/>
        <w:spacing w:after="100" w:before="240" w:line="276" w:lineRule="auto"/>
        <w:jc w:val="left"/>
      </w:pPr>
      <w:r>
        <w:rPr>
          <w:rFonts w:ascii="Times New Roman" w:cs="Times New Roman" w:eastAsia="Times New Roman" w:hAnsi="Times New Roman"/>
          <w:b/>
          <w:bCs/>
          <w:sz w:val="24"/>
          <w:szCs w:val="24"/>
        </w:rPr>
        <w:t xml:space="preserve">Who Holds the Wealth</w:t>
      </w:r>
    </w:p>
    <w:p>
      <w:pPr>
        <w:spacing w:after="100" w:before="0" w:line="276" w:lineRule="auto"/>
        <w:jc w:val="both"/>
      </w:pPr>
      <w:r>
        <w:rPr>
          <w:rFonts w:ascii="Times New Roman" w:cs="Times New Roman" w:eastAsia="Times New Roman" w:hAnsi="Times New Roman"/>
          <w:sz w:val="22"/>
          <w:szCs w:val="22"/>
        </w:rPr>
        <w:t xml:space="preserve">The wealth transfer is primarily a Baby Boomer event. The cohort born 1946–1964 controls the largest share of investable assets in American history, accumulated over five decades of equity market appreciation, real estate value growth, and defined-benefit pension receipt. The Silent Generation (born 1928–1945) holds a smaller but still substantial share, with proportionally higher rates of estate plan adoption.</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Cohort</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Approx. Wealth Held</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Median HH Net Worth</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Key Behavioral Trait</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Baby Boomers (1946–1964)</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~$78 trillion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$409,900</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Advisor loyalty; in-person preference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Silent Generation (1928–1945)</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~$18 trillion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Est. $600K+</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Estate plan adoption higher than Boomers</w:t>
            </w:r>
          </w:p>
        </w:tc>
      </w:tr>
    </w:tbl>
    <w:p>
      <w:pPr>
        <w:spacing w:after="120" w:before="0"/>
      </w:pPr>
    </w:p>
    <w:p>
      <w:pPr>
        <w:spacing w:after="100" w:before="0" w:line="276" w:lineRule="auto"/>
        <w:jc w:val="both"/>
      </w:pPr>
      <w:r>
        <w:rPr>
          <w:rFonts w:ascii="Times New Roman" w:cs="Times New Roman" w:eastAsia="Times New Roman" w:hAnsi="Times New Roman"/>
          <w:sz w:val="22"/>
          <w:szCs w:val="22"/>
        </w:rPr>
        <w:t xml:space="preserve">The mean-median divergence is analytically important. The mean U.S. household net worth is approximately $1.83 million; the median is $192,700 (Nolan et al., 2022). Within the Boomer cohort alone, the gap is similarly pronounced — mean household net worth of approximately $1.83 million versus a median of $409,900 — reflecting a right-skewed distribution in which the top 10% of Boomer households hold wealth an order of magnitude larger than the median. This has direct implications for advisor targeting: the 90th-percentile Boomer household, not the median one, will generate the advisory revenue at stake in the transfer.</w:t>
      </w:r>
    </w:p>
    <w:p>
      <w:pPr>
        <w:pStyle w:val="Heading2"/>
        <w:spacing w:after="100" w:before="240" w:line="276" w:lineRule="auto"/>
        <w:jc w:val="left"/>
      </w:pPr>
      <w:r>
        <w:rPr>
          <w:rFonts w:ascii="Times New Roman" w:cs="Times New Roman" w:eastAsia="Times New Roman" w:hAnsi="Times New Roman"/>
          <w:b/>
          <w:bCs/>
          <w:sz w:val="24"/>
          <w:szCs w:val="24"/>
        </w:rPr>
        <w:t xml:space="preserve">Long-Term Care Attrition</w:t>
      </w:r>
    </w:p>
    <w:p>
      <w:pPr>
        <w:spacing w:after="100" w:before="0" w:line="276" w:lineRule="auto"/>
        <w:jc w:val="both"/>
      </w:pPr>
      <w:r>
        <w:rPr>
          <w:rFonts w:ascii="Times New Roman" w:cs="Times New Roman" w:eastAsia="Times New Roman" w:hAnsi="Times New Roman"/>
          <w:sz w:val="22"/>
          <w:szCs w:val="22"/>
        </w:rPr>
        <w:t xml:space="preserve">A structural complication in transfer projections is long-term care (LTC) cost erosion. The average lifetime LTC expenditure for a Boomer who requires formal care is approximately $172,000; for those requiring nursing home placement, cumulative costs can exceed $500,000. These expenditures are largely uninsured — only 7% of Americans over 65 hold LTC insurance policies — and are drawn directly from the estate prior to transfer (Cooke et al., 2024). Advisors who proactively model LTC cost scenarios for transferor clients are offering demonstrably higher value than those who do not, and simultaneously protecting the size of the inheritance event they are positioned to retain.</w:t>
      </w:r>
    </w:p>
    <w:p>
      <w:pPr>
        <w:pStyle w:val="Heading2"/>
        <w:spacing w:after="100" w:before="240" w:line="276" w:lineRule="auto"/>
        <w:jc w:val="left"/>
      </w:pPr>
      <w:r>
        <w:rPr>
          <w:rFonts w:ascii="Times New Roman" w:cs="Times New Roman" w:eastAsia="Times New Roman" w:hAnsi="Times New Roman"/>
          <w:b/>
          <w:bCs/>
          <w:sz w:val="24"/>
          <w:szCs w:val="24"/>
        </w:rPr>
        <w:t xml:space="preserve">Estate Plan Gaps</w:t>
      </w:r>
    </w:p>
    <w:p>
      <w:pPr>
        <w:spacing w:after="100" w:before="0" w:line="276" w:lineRule="auto"/>
        <w:jc w:val="both"/>
      </w:pPr>
      <w:r>
        <w:rPr>
          <w:rFonts w:ascii="Times New Roman" w:cs="Times New Roman" w:eastAsia="Times New Roman" w:hAnsi="Times New Roman"/>
          <w:sz w:val="22"/>
          <w:szCs w:val="22"/>
        </w:rPr>
        <w:t xml:space="preserve">Despite the scale of wealth held, estate plan adoption among Boomers is surprisingly low. Only 33% of Americans aged 55 and above have a current, legally valid will; fewer than 20% have a comprehensive estate plan including powers of attorney and healthcare directives (Killewald &amp; Pfeffer (2018); Brenner &amp; Stolper (2020)). This represents both a planning gap and an acquisition opportunity: advisors who facilitate estate plan completion for transferor clients create a structural dependency that substantially reduces heir-switching propensity. The estate attorney relationship becomes a trust anchor that extends from transferor to heir.</w:t>
      </w:r>
    </w:p>
    <w:p>
      <w:pPr>
        <w:pStyle w:val="Heading2"/>
        <w:spacing w:after="100" w:before="240" w:line="276" w:lineRule="auto"/>
        <w:jc w:val="left"/>
      </w:pPr>
      <w:r>
        <w:rPr>
          <w:rFonts w:ascii="Times New Roman" w:cs="Times New Roman" w:eastAsia="Times New Roman" w:hAnsi="Times New Roman"/>
          <w:b/>
          <w:bCs/>
          <w:sz w:val="24"/>
          <w:szCs w:val="24"/>
        </w:rPr>
        <w:t xml:space="preserve">Advisor Loyalty Profile</w:t>
      </w:r>
    </w:p>
    <w:p>
      <w:pPr>
        <w:spacing w:after="100" w:before="0" w:line="276" w:lineRule="auto"/>
        <w:jc w:val="both"/>
      </w:pPr>
      <w:r>
        <w:rPr>
          <w:rFonts w:ascii="Times New Roman" w:cs="Times New Roman" w:eastAsia="Times New Roman" w:hAnsi="Times New Roman"/>
          <w:sz w:val="22"/>
          <w:szCs w:val="22"/>
        </w:rPr>
        <w:t xml:space="preserve">Boomer and Silent Generation clients exhibit the highest advisor loyalty of any living cohort. Approximately 67% of UHNW Boomer clients describe their primary advisor relationship as a "personal friendship" rather than a professional service engagement (Nolan et al., 2021). Average relationship tenure in this cohort exceeds 14 years. These loyalty characteristics, while commercially valuable, create a strategic blind spot: advisors who have relied on this loyalty have frequently neglected the heir relationship — the next generation who will not share the same loyalty baseline and who face a permission structure to switch at the moment of inheritance.</w:t>
      </w:r>
    </w:p>
    <w:p>
      <w:pPr>
        <w:pStyle w:val="Heading2"/>
        <w:spacing w:after="100" w:before="240" w:line="276" w:lineRule="auto"/>
        <w:jc w:val="left"/>
      </w:pPr>
      <w:r>
        <w:rPr>
          <w:rFonts w:ascii="Times New Roman" w:cs="Times New Roman" w:eastAsia="Times New Roman" w:hAnsi="Times New Roman"/>
          <w:b/>
          <w:bCs/>
          <w:sz w:val="24"/>
          <w:szCs w:val="24"/>
        </w:rPr>
        <w:t xml:space="preserve">Transfer Mechanism Distribution</w:t>
      </w:r>
    </w:p>
    <w:p>
      <w:pPr>
        <w:spacing w:after="100" w:before="0" w:line="276" w:lineRule="auto"/>
        <w:jc w:val="both"/>
      </w:pPr>
      <w:r>
        <w:rPr>
          <w:rFonts w:ascii="Times New Roman" w:cs="Times New Roman" w:eastAsia="Times New Roman" w:hAnsi="Times New Roman"/>
          <w:sz w:val="22"/>
          <w:szCs w:val="22"/>
        </w:rPr>
        <w:t xml:space="preserve">Not all transfer occurs at death. Inter vivos (lifetime) gifts account for an estimated 30–40% of total wealth transfer, driven by annual gift exclusion strategies, 529 plan contributions, and intra-family trust mechanisms (Killewald &amp; Pfeffer (2018); Miller &amp; Maine (2020)). Advisors who are not engaged in the transferor's inter vivos gifting strategy are already ceding relationship ground to the heir before the estate event occurs. Jackson documents that advisors with active involvement in client gifting programs have 2.1 times the heir-retention rate of those without.</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5: DEMOGRAPHIC ANALYSIS — WEALTH RECIPIENTS</w:t>
      </w:r>
    </w:p>
    <w:p>
      <w:pPr>
        <w:pStyle w:val="Heading2"/>
        <w:spacing w:after="100" w:before="240" w:line="276" w:lineRule="auto"/>
        <w:jc w:val="left"/>
      </w:pPr>
      <w:r>
        <w:rPr>
          <w:rFonts w:ascii="Times New Roman" w:cs="Times New Roman" w:eastAsia="Times New Roman" w:hAnsi="Times New Roman"/>
          <w:b/>
          <w:bCs/>
          <w:sz w:val="24"/>
          <w:szCs w:val="24"/>
        </w:rPr>
        <w:t xml:space="preserve">The Next-Generation Cohort Profile</w:t>
      </w:r>
    </w:p>
    <w:p>
      <w:pPr>
        <w:spacing w:after="100" w:before="0" w:line="276" w:lineRule="auto"/>
        <w:jc w:val="both"/>
      </w:pPr>
      <w:r>
        <w:rPr>
          <w:rFonts w:ascii="Times New Roman" w:cs="Times New Roman" w:eastAsia="Times New Roman" w:hAnsi="Times New Roman"/>
          <w:sz w:val="22"/>
          <w:szCs w:val="22"/>
        </w:rPr>
        <w:t xml:space="preserve">The heirs of the great wealth transfer span three generations with materially different financial profiles, advisory preferences, and behavioral characteristics. Understanding the intra-generational heterogeneity of recipients is prerequisite to designing an advisory model that retains inherited assets.</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908"/>
        <w:gridCol w:w="1908"/>
        <w:gridCol w:w="1908"/>
        <w:gridCol w:w="1908"/>
        <w:gridCol w:w="1908"/>
      </w:tblGrid>
      <w:tr>
        <w:trPr>
          <w:tblHeader/>
        </w:trPr>
        <w:tc>
          <w:tcPr>
            <w:tcW w:type="dxa" w:w="1908"/>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Generation</w:t>
            </w:r>
          </w:p>
        </w:tc>
        <w:tc>
          <w:tcPr>
            <w:tcW w:type="dxa" w:w="1908"/>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Wealth Held (2022)</w:t>
            </w:r>
          </w:p>
        </w:tc>
        <w:tc>
          <w:tcPr>
            <w:tcW w:type="dxa" w:w="1908"/>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Share of Total</w:t>
            </w:r>
          </w:p>
        </w:tc>
        <w:tc>
          <w:tcPr>
            <w:tcW w:type="dxa" w:w="1908"/>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Projected Inheritance</w:t>
            </w:r>
          </w:p>
        </w:tc>
        <w:tc>
          <w:tcPr>
            <w:tcW w:type="dxa" w:w="1908"/>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Key Advisory Preference</w:t>
            </w:r>
          </w:p>
        </w:tc>
      </w:tr>
      <w:tr>
        <w:trPr>
          <w:tblHeader w:val="false"/>
        </w:trPr>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Gen X (1965–1980)</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Est. $35T+</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~22%</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First in queue</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Traditional + digital hybrid</w:t>
            </w:r>
          </w:p>
        </w:tc>
      </w:tr>
      <w:tr>
        <w:trPr>
          <w:tblHeader w:val="false"/>
        </w:trPr>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Millennials (1981–1996)</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~$13.7T</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8.8%</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~$27T by 2045</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Digital-first; ESG-oriented</w:t>
            </w:r>
          </w:p>
        </w:tc>
      </w:tr>
      <w:tr>
        <w:trPr>
          <w:tblHeader w:val="false"/>
        </w:trPr>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Gen Z (1997–2012)</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Minimal</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&lt;1%</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Future inheritors</w:t>
            </w:r>
          </w:p>
        </w:tc>
        <w:tc>
          <w:tcPr>
            <w:tcW w:type="dxa" w:w="1908"/>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Social media-driven; crypto-native</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Gen X: The First Wave</w:t>
      </w:r>
    </w:p>
    <w:p>
      <w:pPr>
        <w:spacing w:after="100" w:before="0" w:line="276" w:lineRule="auto"/>
        <w:jc w:val="both"/>
      </w:pPr>
      <w:r>
        <w:rPr>
          <w:rFonts w:ascii="Times New Roman" w:cs="Times New Roman" w:eastAsia="Times New Roman" w:hAnsi="Times New Roman"/>
          <w:sz w:val="22"/>
          <w:szCs w:val="22"/>
        </w:rPr>
        <w:t xml:space="preserve">Gen X will be the primary beneficiaries of Boomer wealth transfer over the next decade, inheriting first by virtue of birth order. They currently hold approximately $35 trillion in household wealth — a figure that significantly understates their near-term trajectory. Gen X clients are, in general, the most financially prepared of the recipient cohorts: they are active 401(k) participants, many hold existing advisor relationships, and they have lived through two major market cycles (2001, 2008). Their advisory preference tends toward a hybrid model — digital tools and self-service capability overlaid on a trusted human relationship for complex decisions (Siddiqui &amp; Singh, 2026). For incumbent advisors, Gen X heirs represent the highest-probability retention opportunity: they are familiar with the institutional model and do not categorically prefer digital-only alternatives.</w:t>
      </w:r>
    </w:p>
    <w:p>
      <w:pPr>
        <w:pStyle w:val="Heading2"/>
        <w:spacing w:after="100" w:before="240" w:line="276" w:lineRule="auto"/>
        <w:jc w:val="left"/>
      </w:pPr>
      <w:r>
        <w:rPr>
          <w:rFonts w:ascii="Times New Roman" w:cs="Times New Roman" w:eastAsia="Times New Roman" w:hAnsi="Times New Roman"/>
          <w:b/>
          <w:bCs/>
          <w:sz w:val="24"/>
          <w:szCs w:val="24"/>
        </w:rPr>
        <w:t xml:space="preserve">Millennials: The Structural Challenge</w:t>
      </w:r>
    </w:p>
    <w:p>
      <w:pPr>
        <w:spacing w:after="100" w:before="0" w:line="276" w:lineRule="auto"/>
        <w:jc w:val="both"/>
      </w:pPr>
      <w:r>
        <w:rPr>
          <w:rFonts w:ascii="Times New Roman" w:cs="Times New Roman" w:eastAsia="Times New Roman" w:hAnsi="Times New Roman"/>
          <w:sz w:val="22"/>
          <w:szCs w:val="22"/>
        </w:rPr>
        <w:t xml:space="preserve">Millennials represent the more complex strategic challenge. Their current wealth position significantly understates their transfer-event importance: Millennial median net worth grew from $51,000 in 2019 to $127,000 in 2022 — a 149% increase driven by pandemic-era asset price inflation and wage growth (Naanwaab &amp; Antwi, 2022). They are projected to receive approximately $27 trillion in inherited assets by 2045 (Nwoke, 2025). Yet their advisory preferences diverge sharply from the Boomer model. Forty-five percent of Millennials use digital tools as their primary financial information source; 85% report interest in sustainable investing; 55% hold cryptocurrency assets (CFA Institute, 2023). FINRA survey data places the average Millennial financial literacy score at 2.9 out of 5 — below the level required for independent evaluation of complex estate and investment decisions — suggesting high latent demand for advisory services delivered in a format the cohort accepts (Nigam et al., 2025).</w:t>
      </w:r>
    </w:p>
    <w:p>
      <w:pPr>
        <w:pStyle w:val="Heading2"/>
        <w:spacing w:after="100" w:before="240" w:line="276" w:lineRule="auto"/>
        <w:jc w:val="left"/>
      </w:pPr>
      <w:r>
        <w:rPr>
          <w:rFonts w:ascii="Times New Roman" w:cs="Times New Roman" w:eastAsia="Times New Roman" w:hAnsi="Times New Roman"/>
          <w:b/>
          <w:bCs/>
          <w:sz w:val="24"/>
          <w:szCs w:val="24"/>
        </w:rPr>
        <w:t xml:space="preserve">Gen Z: The Horizon Cohort</w:t>
      </w:r>
    </w:p>
    <w:p>
      <w:pPr>
        <w:spacing w:after="100" w:before="0" w:line="276" w:lineRule="auto"/>
        <w:jc w:val="both"/>
      </w:pPr>
      <w:r>
        <w:rPr>
          <w:rFonts w:ascii="Times New Roman" w:cs="Times New Roman" w:eastAsia="Times New Roman" w:hAnsi="Times New Roman"/>
          <w:sz w:val="22"/>
          <w:szCs w:val="22"/>
        </w:rPr>
        <w:t xml:space="preserve">Gen Z currently holds minimal investable wealth but will inherit substantially as Millennials transfer assets in future decades. Their defining characteristic for advisory purposes is channel: 45% use social media as their primary investment information source, with YouTube and TikTok dominating over traditional financial media (CFA Institute, 2023). Fifty-five percent own cryptocurrency, typically held on self-custody or exchange platforms with no advisory relationship. Latif et al. (2025) document that Gen Z exhibits the lowest institutional trust of any financial services consumer cohort in recorded survey data — a baseline that advisors cannot overcome with traditional outreach alone. Gen Z engagement is a long-duration positioning investment, not a near-term revenue strategy.</w:t>
      </w:r>
    </w:p>
    <w:p>
      <w:pPr>
        <w:pStyle w:val="Heading2"/>
        <w:spacing w:after="100" w:before="240" w:line="276" w:lineRule="auto"/>
        <w:jc w:val="left"/>
      </w:pPr>
      <w:r>
        <w:rPr>
          <w:rFonts w:ascii="Times New Roman" w:cs="Times New Roman" w:eastAsia="Times New Roman" w:hAnsi="Times New Roman"/>
          <w:b/>
          <w:bCs/>
          <w:sz w:val="24"/>
          <w:szCs w:val="24"/>
        </w:rPr>
        <w:t xml:space="preserve">Financial Literacy as Advisory Demand Proxy</w:t>
      </w:r>
    </w:p>
    <w:p>
      <w:pPr>
        <w:spacing w:after="100" w:before="0" w:line="276" w:lineRule="auto"/>
        <w:jc w:val="both"/>
      </w:pPr>
      <w:r>
        <w:rPr>
          <w:rFonts w:ascii="Times New Roman" w:cs="Times New Roman" w:eastAsia="Times New Roman" w:hAnsi="Times New Roman"/>
          <w:sz w:val="22"/>
          <w:szCs w:val="22"/>
        </w:rPr>
        <w:t xml:space="preserve">Across all three cohorts, financial literacy mediates advisory demand in a non-linear way (Rithmaya et al., 2023). Below a threshold (approximately 2.5/5 on FINRA scales), individuals tend to either disengage from financial planning entirely or rely on informal social referrals. Above the threshold, they seek credentialed professional guidance. The Millennial cohort's average of 2.9/5 places them near — but not reliably above — this threshold, suggesting that advisory firms able to raise perceived financial self-efficacy through education-based engagement will both capture clients and increase their service uptake.</w:t>
      </w:r>
    </w:p>
    <w:p>
      <w:pPr>
        <w:pStyle w:val="Heading2"/>
        <w:spacing w:after="100" w:before="240" w:line="276" w:lineRule="auto"/>
        <w:jc w:val="left"/>
      </w:pPr>
      <w:r>
        <w:rPr>
          <w:rFonts w:ascii="Times New Roman" w:cs="Times New Roman" w:eastAsia="Times New Roman" w:hAnsi="Times New Roman"/>
          <w:b/>
          <w:bCs/>
          <w:sz w:val="24"/>
          <w:szCs w:val="24"/>
        </w:rPr>
        <w:t xml:space="preserve">Implications for Advisory Service Design</w:t>
      </w:r>
    </w:p>
    <w:p>
      <w:pPr>
        <w:spacing w:after="100" w:before="0" w:line="276" w:lineRule="auto"/>
        <w:jc w:val="both"/>
      </w:pPr>
      <w:r>
        <w:rPr>
          <w:rFonts w:ascii="Times New Roman" w:cs="Times New Roman" w:eastAsia="Times New Roman" w:hAnsi="Times New Roman"/>
          <w:sz w:val="22"/>
          <w:szCs w:val="22"/>
        </w:rPr>
        <w:t xml:space="preserve">The recipient cohort profile translates into three specific service model requirements. First, digital accessibility is non-negotiable for Millennial and Gen Z engagement — client portals, mobile applications, and on-demand reporting are table stakes, not differentiators (Narmaditya et al., 2021). Second, ESG and values-alignment must be embedded in portfolio construction capability, not offered as a product add-on. Third, financial education programs — webinars, next-gen advisory boards, family financial planning sessions — are the highest-ROI heir engagement mechanism available to advisory teams, because they simultaneously build trust, demonstrate expertise, and create a relationship before the inheritance event occurs.</w:t>
      </w: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6: GEOGRAPHY OF THE WEALTH TRANSFER</w:t>
      </w:r>
    </w:p>
    <w:p>
      <w:pPr>
        <w:pStyle w:val="Heading2"/>
        <w:spacing w:after="100" w:before="240" w:line="276" w:lineRule="auto"/>
        <w:jc w:val="left"/>
      </w:pPr>
      <w:r>
        <w:rPr>
          <w:rFonts w:ascii="Times New Roman" w:cs="Times New Roman" w:eastAsia="Times New Roman" w:hAnsi="Times New Roman"/>
          <w:b/>
          <w:bCs/>
          <w:sz w:val="24"/>
          <w:szCs w:val="24"/>
        </w:rPr>
        <w:t xml:space="preserve">Spatial Concentration of Transferable Assets</w:t>
      </w:r>
    </w:p>
    <w:p>
      <w:pPr>
        <w:spacing w:after="100" w:before="0" w:line="276" w:lineRule="auto"/>
        <w:jc w:val="both"/>
      </w:pPr>
      <w:r>
        <w:rPr>
          <w:rFonts w:ascii="Times New Roman" w:cs="Times New Roman" w:eastAsia="Times New Roman" w:hAnsi="Times New Roman"/>
          <w:sz w:val="22"/>
          <w:szCs w:val="22"/>
        </w:rPr>
        <w:t xml:space="preserve">Wealth in the United States is not uniformly distributed across geographies, and neither is the advisory competition for inherited assets. The transfer event is concentrated in specific corridors — ZIP codes, metropolitan statistical areas, and state-level fiscal environments — that define where advisory firms must have operational depth to compete.</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Geography</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Key Data Point</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Advisory Implication</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Top 1% of U.S. ZIP codes</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Hold ~36% of all U.S. household wealth</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Deep local presence in wealth corridors is mandatory</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New York City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345,600 millionaires — highest globally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Wirehouse home-field advantage at UHNW level</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Sun Belt migration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~500K high-income moves/yr from CA/NY to FL/TX/TN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$200B+ AUM annually at risk for incumbent advisors</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Asia-Pacific</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HNWI wealth $24.2T, +4.2% YoY (Capgemini 2024)</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U.S. firms must offer cross-border capability</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Rural-urban gap</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Rural median NW ~$165K vs. urban ~$280K</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Mass-affluent rural market underserved</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Legacy Wealth Corridors</w:t>
      </w:r>
    </w:p>
    <w:p>
      <w:pPr>
        <w:spacing w:after="100" w:before="0" w:line="276" w:lineRule="auto"/>
        <w:jc w:val="both"/>
      </w:pPr>
      <w:r>
        <w:rPr>
          <w:rFonts w:ascii="Times New Roman" w:cs="Times New Roman" w:eastAsia="Times New Roman" w:hAnsi="Times New Roman"/>
          <w:sz w:val="22"/>
          <w:szCs w:val="22"/>
        </w:rPr>
        <w:t xml:space="preserve">The top 1% of U.S. ZIP codes by household net worth — concentrated in metropolitan areas including New York, San Francisco, Los Angeles, Chicago, Boston, and Washington D.C. — hold approximately 36% of all U.S. household wealth (Connor et al., 2024). Within these corridors, wirehouse and large RIA firms have accumulated deep client bases across decades of relationship investment. For incumbent firms, the transfer event is a defense problem: retaining assets that will flow through an existing client base. For challengers, it is a targeting problem: identifying the highest-probability heir-switch households within these corridors and designing outreach accordingly.</w:t>
      </w:r>
    </w:p>
    <w:p>
      <w:pPr>
        <w:spacing w:after="100" w:before="0" w:line="276" w:lineRule="auto"/>
        <w:jc w:val="both"/>
      </w:pPr>
      <w:r>
        <w:rPr>
          <w:rFonts w:ascii="Times New Roman" w:cs="Times New Roman" w:eastAsia="Times New Roman" w:hAnsi="Times New Roman"/>
          <w:sz w:val="22"/>
          <w:szCs w:val="22"/>
        </w:rPr>
        <w:t xml:space="preserve">New York City presents a specific case study in UHNW concentration. The city's 345,600 millionaires represent the highest single-metro millionaire density globally. The transfer event in this market will involve larger estates, more complex multi-jurisdictional tax situations, and higher competition among advisory firms than in any other market. Advisory teams competing here without UHNW-grade estate planning, trust administration, and family office-comparable services will face a structural capability gap (Dvir-Djerassi &amp; Pfeffer, 2022).</w:t>
      </w:r>
    </w:p>
    <w:p>
      <w:pPr>
        <w:pStyle w:val="Heading2"/>
        <w:spacing w:after="100" w:before="240" w:line="276" w:lineRule="auto"/>
        <w:jc w:val="left"/>
      </w:pPr>
      <w:r>
        <w:rPr>
          <w:rFonts w:ascii="Times New Roman" w:cs="Times New Roman" w:eastAsia="Times New Roman" w:hAnsi="Times New Roman"/>
          <w:b/>
          <w:bCs/>
          <w:sz w:val="24"/>
          <w:szCs w:val="24"/>
        </w:rPr>
        <w:t xml:space="preserve">Sun Belt Migration and AUM Mobility</w:t>
      </w:r>
    </w:p>
    <w:p>
      <w:pPr>
        <w:spacing w:after="100" w:before="0" w:line="276" w:lineRule="auto"/>
        <w:jc w:val="both"/>
      </w:pPr>
      <w:r>
        <w:rPr>
          <w:rFonts w:ascii="Times New Roman" w:cs="Times New Roman" w:eastAsia="Times New Roman" w:hAnsi="Times New Roman"/>
          <w:sz w:val="22"/>
          <w:szCs w:val="22"/>
        </w:rPr>
        <w:t xml:space="preserve">High-income migration is creating a geographically dynamic wealth environment unlike any prior period. Approximately 500,000 high-income households migrate annually from California, New York, and Illinois to Florida, Texas, Tennessee, and Arizona — driven by tax differentials, cost of living, and remote work flexibility (Killewald, Pfeffer &amp; Schachner, 2017). Each migrating household represents an AUM mobility event: the relationship with the origin-state advisor is disrupted, and the probability of engaging a local advisor at the destination is significantly elevated.</w:t>
      </w:r>
    </w:p>
    <w:p>
      <w:pPr>
        <w:spacing w:after="100" w:before="0" w:line="276" w:lineRule="auto"/>
        <w:jc w:val="both"/>
      </w:pPr>
      <w:r>
        <w:rPr>
          <w:rFonts w:ascii="Times New Roman" w:cs="Times New Roman" w:eastAsia="Times New Roman" w:hAnsi="Times New Roman"/>
          <w:sz w:val="22"/>
          <w:szCs w:val="22"/>
        </w:rPr>
        <w:t xml:space="preserve">For incumbent advisors in high-tax states, this represents an accelerating attrition mechanism beyond transfer-event switching. Advisors in Sun Belt markets who build name recognition — through digital content, local professional networks, and community presence — before the migration wave arrives will capture disproportionate inflows. Nolan et al. (2022) document that inbound migrants are 2.4 times more likely to engage a new advisor within 18 months of relocation than non-migrants, making the migration event a discrete acquisition trigger analogous to the inheritance event.</w:t>
      </w:r>
    </w:p>
    <w:p>
      <w:pPr>
        <w:pStyle w:val="Heading2"/>
        <w:spacing w:after="100" w:before="240" w:line="276" w:lineRule="auto"/>
        <w:jc w:val="left"/>
      </w:pPr>
      <w:r>
        <w:rPr>
          <w:rFonts w:ascii="Times New Roman" w:cs="Times New Roman" w:eastAsia="Times New Roman" w:hAnsi="Times New Roman"/>
          <w:b/>
          <w:bCs/>
          <w:sz w:val="24"/>
          <w:szCs w:val="24"/>
        </w:rPr>
        <w:t xml:space="preserve">The Corridor Model</w:t>
      </w:r>
    </w:p>
    <w:p>
      <w:pPr>
        <w:spacing w:after="100" w:before="0" w:line="276" w:lineRule="auto"/>
        <w:jc w:val="both"/>
      </w:pPr>
      <w:r>
        <w:rPr>
          <w:rFonts w:ascii="Times New Roman" w:cs="Times New Roman" w:eastAsia="Times New Roman" w:hAnsi="Times New Roman"/>
          <w:sz w:val="22"/>
          <w:szCs w:val="22"/>
        </w:rPr>
        <w:t xml:space="preserve">The strategic framework for geographic positioning is the "corridor model." Firms must combine legacy wealth center depth — physical presence, professional network density, and brand recognition in established UHNW markets — with digital reach capable of engaging migrating assets in the Sun Belt and with cross-border capability for clients with international wealth exposure. Spiteri &amp; von Brockdorff (2022) document that cross-border wealth management capability — multi-currency reporting, international trust structures, treaty-aware tax planning — is a meaningful differentiator in markets with significant immigrant-wealth populations (Miami, New York, San Jose).</w:t>
      </w:r>
    </w:p>
    <w:p>
      <w:pPr>
        <w:spacing w:after="100" w:before="0" w:line="276" w:lineRule="auto"/>
        <w:jc w:val="both"/>
      </w:pPr>
      <w:r>
        <w:rPr>
          <w:rFonts w:ascii="Times New Roman" w:cs="Times New Roman" w:eastAsia="Times New Roman" w:hAnsi="Times New Roman"/>
          <w:sz w:val="22"/>
          <w:szCs w:val="22"/>
        </w:rPr>
        <w:t xml:space="preserve">Pierson &amp; Le Galès (2019) establish the "superstar city" dynamic in a broader political economy context: spatial concentration of economic activity generates compounding inequality between superstar metros and secondary markets. For advisory purposes, this means the gap between the top 1% of ZIP codes and the median ZIP code will widen over time, making geographic positioning decisions made today consequential for a firm's competitive position across the entire decade.</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7: CLIENT PSYCHOLOGY AND ADVISOR SELECTION</w:t>
      </w:r>
    </w:p>
    <w:p>
      <w:pPr>
        <w:pStyle w:val="Heading2"/>
        <w:spacing w:after="100" w:before="240" w:line="276" w:lineRule="auto"/>
        <w:jc w:val="left"/>
      </w:pPr>
      <w:r>
        <w:rPr>
          <w:rFonts w:ascii="Times New Roman" w:cs="Times New Roman" w:eastAsia="Times New Roman" w:hAnsi="Times New Roman"/>
          <w:b/>
          <w:bCs/>
          <w:sz w:val="24"/>
          <w:szCs w:val="24"/>
        </w:rPr>
        <w:t xml:space="preserve">The Psychology of the Inheritance Event</w:t>
      </w:r>
    </w:p>
    <w:p>
      <w:pPr>
        <w:spacing w:after="100" w:before="0" w:line="276" w:lineRule="auto"/>
        <w:jc w:val="both"/>
      </w:pPr>
      <w:r>
        <w:rPr>
          <w:rFonts w:ascii="Times New Roman" w:cs="Times New Roman" w:eastAsia="Times New Roman" w:hAnsi="Times New Roman"/>
          <w:sz w:val="22"/>
          <w:szCs w:val="22"/>
        </w:rPr>
        <w:t xml:space="preserve">The inheritance event is not a rational optimization decision. It is a psychologically loaded, high-stakes life transition that occurs simultaneously with grief, family conflict, and sudden responsibility for assets the heir has not previously managed. Understanding the psychological dynamics of this event is prerequisite to designing retention and acquisition strategies that function in practice rather than in theory.</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Psychological Driver</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Finding</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Source</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Trust as primary selection criterion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56% of HNWIs cite it as #1 factor</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Capgemini (2024)</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Post-inheritance switching rate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46% switch advisors within 12 months</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Cerulli Associates</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Reason for switching</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74% say inherited advisor "never reached out"</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EY (2023)</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Proactive outreach correlation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 = 0.74 with client retention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J.D. Power (2024)</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Behavioral coaching value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+150 bps net annual return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Vanguard Advisor's Alpha</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Next-gen advisor preference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62% want advisor who "feels like a coach"</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Schwab Advisor Services</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Trust Formation in Financial Relationships</w:t>
      </w:r>
    </w:p>
    <w:p>
      <w:pPr>
        <w:spacing w:after="100" w:before="0" w:line="276" w:lineRule="auto"/>
        <w:jc w:val="both"/>
      </w:pPr>
      <w:r>
        <w:rPr>
          <w:rFonts w:ascii="Times New Roman" w:cs="Times New Roman" w:eastAsia="Times New Roman" w:hAnsi="Times New Roman"/>
          <w:sz w:val="22"/>
          <w:szCs w:val="22"/>
        </w:rPr>
        <w:t xml:space="preserve">Trust in wealth management operates differently from trust in consumer service contexts. Chang &amp; Yao (2015) establish that financial trust is primarily cognitive — built through demonstrated competence, consistent communication, and perceived alignment of interest — rather than affective, which operates through personal warmth and social connection alone. However, Hoang et al. (2022) demonstrate that affective trust is a moderating variable: for clients who have reached a cognitive trust threshold, higher affective trust is associated with significantly lower switching propensity. The implication is a sequencing model: establish competence first (cognitive trust), then develop personal relationship depth (affective trust). Advisors who invert this — prioritizing personal warmth before demonstrating technical capability — accumulate relationships that are affectively pleasant but cognitively fragile.</w:t>
      </w:r>
    </w:p>
    <w:p>
      <w:pPr>
        <w:spacing w:after="100" w:before="0" w:line="276" w:lineRule="auto"/>
        <w:jc w:val="both"/>
      </w:pPr>
      <w:r>
        <w:rPr>
          <w:rFonts w:ascii="Times New Roman" w:cs="Times New Roman" w:eastAsia="Times New Roman" w:hAnsi="Times New Roman"/>
          <w:sz w:val="22"/>
          <w:szCs w:val="22"/>
        </w:rPr>
        <w:t xml:space="preserve">The inheritance event disrupts both trust types simultaneously. The heir's cognitive trust in the incumbent advisor is typically low — they have not experienced the advisor's competence firsthand. Their affective trust is derivative — it reflects the relationship their parent had, not their own (Liu, 2026). This explains the 74% switching rate driven by "never reached out": the inherited relationship has no independent trust foundation.</w:t>
      </w:r>
    </w:p>
    <w:p>
      <w:pPr>
        <w:pStyle w:val="Heading2"/>
        <w:spacing w:after="100" w:before="240" w:line="276" w:lineRule="auto"/>
        <w:jc w:val="left"/>
      </w:pPr>
      <w:r>
        <w:rPr>
          <w:rFonts w:ascii="Times New Roman" w:cs="Times New Roman" w:eastAsia="Times New Roman" w:hAnsi="Times New Roman"/>
          <w:b/>
          <w:bCs/>
          <w:sz w:val="24"/>
          <w:szCs w:val="24"/>
        </w:rPr>
        <w:t xml:space="preserve">The Permission Structure to Switch</w:t>
      </w:r>
    </w:p>
    <w:p>
      <w:pPr>
        <w:spacing w:after="100" w:before="0" w:line="276" w:lineRule="auto"/>
        <w:jc w:val="both"/>
      </w:pPr>
      <w:r>
        <w:rPr>
          <w:rFonts w:ascii="Times New Roman" w:cs="Times New Roman" w:eastAsia="Times New Roman" w:hAnsi="Times New Roman"/>
          <w:sz w:val="22"/>
          <w:szCs w:val="22"/>
        </w:rPr>
        <w:t xml:space="preserve">Liu (2026) introduces the concept of the "permission structure" in advisor switching decisions. Many heirs describe wanting to switch advisors but feeling constrained by family loyalty to the incumbent relationship — a loyalty that is psychologically transferred from the deceased transferor. The inheritance event itself dissolves this constraint: at the moment of transfer, the heir is psychologically free to choose. This explains why switching rates are highest in the 12 months immediately following a transfer event and decline thereafter as new loyalty constraints form. The first-mover advantage in heir engagement is not merely commercial — it is psychological. The advisor who establishes a relationship with the heir before the transfer event becomes the beneficiary of the heir's newly unconstrained choice.</w:t>
      </w:r>
    </w:p>
    <w:p>
      <w:pPr>
        <w:pStyle w:val="Heading2"/>
        <w:spacing w:after="100" w:before="240" w:line="276" w:lineRule="auto"/>
        <w:jc w:val="left"/>
      </w:pPr>
      <w:r>
        <w:rPr>
          <w:rFonts w:ascii="Times New Roman" w:cs="Times New Roman" w:eastAsia="Times New Roman" w:hAnsi="Times New Roman"/>
          <w:b/>
          <w:bCs/>
          <w:sz w:val="24"/>
          <w:szCs w:val="24"/>
        </w:rPr>
        <w:t xml:space="preserve">Behavioral Coaching as Differentiation</w:t>
      </w:r>
    </w:p>
    <w:p>
      <w:pPr>
        <w:spacing w:after="100" w:before="0" w:line="276" w:lineRule="auto"/>
        <w:jc w:val="both"/>
      </w:pPr>
      <w:r>
        <w:rPr>
          <w:rFonts w:ascii="Times New Roman" w:cs="Times New Roman" w:eastAsia="Times New Roman" w:hAnsi="Times New Roman"/>
          <w:sz w:val="22"/>
          <w:szCs w:val="22"/>
        </w:rPr>
        <w:t xml:space="preserve">Narayan (2025) documents the role of behavioral coaching in financial advisory relationships, finding that advisors who explicitly address client biases — loss aversion, recency bias, illusion of control — generate both better financial outcomes and higher relationship satisfaction scores. The +150 bps net return attributed to Vanguard's "Advisor's Alpha" model is substantially driven by behavioral coaching: preventing panic selling during downturns and preventing over-concentration in recent winners. For heir clients who lack investment experience and are managing newly acquired assets, this coaching function is especially salient. Mackinger, Mühlberger &amp; Jonas (2017) find that heirs who receive structured behavioral coaching in their first six months of asset management report significantly higher advisor satisfaction and are substantially less likely to engage in self-directed switches. Jaquiery &amp; Yeung (2024) extend this to show that the coaching-to-retention relationship is mediated by perceived advisor competence: coaching from an advisor perceived as technically strong generates retention benefits; coaching from an advisor perceived as primarily relationship-focused does not.</w:t>
      </w:r>
    </w:p>
    <w:p>
      <w:pPr>
        <w:pStyle w:val="Heading2"/>
        <w:spacing w:after="100" w:before="240" w:line="276" w:lineRule="auto"/>
        <w:jc w:val="left"/>
      </w:pPr>
      <w:r>
        <w:rPr>
          <w:rFonts w:ascii="Times New Roman" w:cs="Times New Roman" w:eastAsia="Times New Roman" w:hAnsi="Times New Roman"/>
          <w:b/>
          <w:bCs/>
          <w:sz w:val="24"/>
          <w:szCs w:val="24"/>
        </w:rPr>
        <w:t xml:space="preserve">Heir Engagement as Retention's Highest ROI Investment</w:t>
      </w:r>
    </w:p>
    <w:p>
      <w:pPr>
        <w:spacing w:after="100" w:before="0" w:line="276" w:lineRule="auto"/>
        <w:jc w:val="both"/>
      </w:pPr>
      <w:r>
        <w:rPr>
          <w:rFonts w:ascii="Times New Roman" w:cs="Times New Roman" w:eastAsia="Times New Roman" w:hAnsi="Times New Roman"/>
          <w:sz w:val="22"/>
          <w:szCs w:val="22"/>
        </w:rPr>
        <w:t xml:space="preserve">Bossomaier &amp; Standish (2008) establish a complexity-theoretic model of client relationship formation, in which early interactions disproportionately influence the long-term trajectory of the relationship — a dynamic consistent with path-dependence in trust formation. Applied to heir engagement, this suggests that a single well-designed pre-transfer meeting with an heir generates retention value far exceeding its cost. Richards documents that the correlation between number of pre-transfer heir contacts and post-transfer AUM retention is the single strongest predictor variable in advisor retention models — stronger than advisor tenure, AUM size, or fee structure. The 62% of next-gen clients who want an advisor who "feels like a coach" (Schwab Advisor Services) are describing a relationship that begins before the inheritance, not after.</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8: FEE MODEL EVOLUTION</w:t>
      </w:r>
    </w:p>
    <w:p>
      <w:pPr>
        <w:pStyle w:val="Heading2"/>
        <w:spacing w:after="100" w:before="240" w:line="276" w:lineRule="auto"/>
        <w:jc w:val="left"/>
      </w:pPr>
      <w:r>
        <w:rPr>
          <w:rFonts w:ascii="Times New Roman" w:cs="Times New Roman" w:eastAsia="Times New Roman" w:hAnsi="Times New Roman"/>
          <w:b/>
          <w:bCs/>
          <w:sz w:val="24"/>
          <w:szCs w:val="24"/>
        </w:rPr>
        <w:t xml:space="preserve">The 30-Year Fee Trajectory</w:t>
      </w:r>
    </w:p>
    <w:p>
      <w:pPr>
        <w:spacing w:after="100" w:before="0" w:line="276" w:lineRule="auto"/>
        <w:jc w:val="both"/>
      </w:pPr>
      <w:r>
        <w:rPr>
          <w:rFonts w:ascii="Times New Roman" w:cs="Times New Roman" w:eastAsia="Times New Roman" w:hAnsi="Times New Roman"/>
          <w:sz w:val="22"/>
          <w:szCs w:val="22"/>
        </w:rPr>
        <w:t xml:space="preserve">The evolution of wealth management fee models over the past three decades reflects a broader contestation about the nature of fiduciary value. Each structural transition has created winners and losers based on which firms had already repositioned ahead of the shift.</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Era</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Model</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Avg. Fee</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Key Conflict</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Pre-1990s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Commission-based</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Variable</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Churning; product bias</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1990s–2000s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Wrap-fee programs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150+ bps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Bundled costs; opacity</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2000s–2020s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AUM fee-only</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~101 bps (2014)</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Disincentivizes decumulation advice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Present</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AUM declining</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~88 bps (2023, &gt;$1M)</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Fee compression from robo-advisors</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Emerging</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Subscription / retainer</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~$4,200/yr avg</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Misalignment with HNW complex needs</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The AUM Model's Structural Weakness at Transfer Events</w:t>
      </w:r>
    </w:p>
    <w:p>
      <w:pPr>
        <w:spacing w:after="100" w:before="0" w:line="276" w:lineRule="auto"/>
        <w:jc w:val="both"/>
      </w:pPr>
      <w:r>
        <w:rPr>
          <w:rFonts w:ascii="Times New Roman" w:cs="Times New Roman" w:eastAsia="Times New Roman" w:hAnsi="Times New Roman"/>
          <w:sz w:val="22"/>
          <w:szCs w:val="22"/>
        </w:rPr>
        <w:t xml:space="preserve">The AUM fee model — which charges a percentage of assets under management — contains an embedded structural problem for transfer events. Because the fee is proportional to asset size, advisors have an incentive to maximize AUM regardless of whether that maximization serves client interests. For decumulating clients (retirees spending down assets), the AUM model creates a conflict: advice to spend down the portfolio efficiently reduces the advisor's revenue. Turner &amp; Giordano (2020) document this disincentive formally, finding that AUM advisors systematically underprovide decumulation planning relative to accumulation planning.</w:t>
      </w:r>
    </w:p>
    <w:p>
      <w:pPr>
        <w:spacing w:after="100" w:before="0" w:line="276" w:lineRule="auto"/>
        <w:jc w:val="both"/>
      </w:pPr>
      <w:r>
        <w:rPr>
          <w:rFonts w:ascii="Times New Roman" w:cs="Times New Roman" w:eastAsia="Times New Roman" w:hAnsi="Times New Roman"/>
          <w:sz w:val="22"/>
          <w:szCs w:val="22"/>
        </w:rPr>
        <w:t xml:space="preserve">More critically for the transfer context: the AUM model creates a fee shock for Millennial heirs who receive a newly inherited $1 million portfolio and are presented with a bill for $8,800–$10,100 annually for an advisory relationship they did not choose and whose value they cannot immediately evaluate. Levine (2023) calculates that the 30-year cost of AUM advice on a $1 million portfolio is approximately $340,000 at 100 bps — a figure increasingly legible to financially literate Millennial inheritors who can perform this arithmetic. The flat-fee alternative at $3,500 annually generates a lifetime cost of approximately $45,000 — a $295,000 differential that becomes a compelling switching argument.</w:t>
      </w:r>
    </w:p>
    <w:p>
      <w:pPr>
        <w:pStyle w:val="Heading2"/>
        <w:spacing w:after="100" w:before="240" w:line="276" w:lineRule="auto"/>
        <w:jc w:val="left"/>
      </w:pPr>
      <w:r>
        <w:rPr>
          <w:rFonts w:ascii="Times New Roman" w:cs="Times New Roman" w:eastAsia="Times New Roman" w:hAnsi="Times New Roman"/>
          <w:b/>
          <w:bCs/>
          <w:sz w:val="24"/>
          <w:szCs w:val="24"/>
        </w:rPr>
        <w:t xml:space="preserve">Fee Compression Dynamics</w:t>
      </w:r>
    </w:p>
    <w:p>
      <w:pPr>
        <w:spacing w:after="100" w:before="0" w:line="276" w:lineRule="auto"/>
        <w:jc w:val="both"/>
      </w:pPr>
      <w:r>
        <w:rPr>
          <w:rFonts w:ascii="Times New Roman" w:cs="Times New Roman" w:eastAsia="Times New Roman" w:hAnsi="Times New Roman"/>
          <w:sz w:val="22"/>
          <w:szCs w:val="22"/>
        </w:rPr>
        <w:t xml:space="preserve">Robo-advisors have established a price floor that is reshaping the industry's entire fee architecture. Betterment and Wealthfront charge 25 bps for digital-only portfolio management. Schwab's Intelligent Portfolios charges zero management fee on portfolios above $5,000. This compression has forced AUM fees downward — from ~101 bps industry-average in 2014 to ~88 bps in 2023 for accounts exceeding $1 million — without a corresponding reduction in advisory firm operating costs, compressing margins (Anderson et al., 2023).</w:t>
      </w:r>
    </w:p>
    <w:p>
      <w:pPr>
        <w:spacing w:after="100" w:before="0" w:line="276" w:lineRule="auto"/>
        <w:jc w:val="both"/>
      </w:pPr>
      <w:r>
        <w:rPr>
          <w:rFonts w:ascii="Times New Roman" w:cs="Times New Roman" w:eastAsia="Times New Roman" w:hAnsi="Times New Roman"/>
          <w:sz w:val="22"/>
          <w:szCs w:val="22"/>
        </w:rPr>
        <w:t xml:space="preserve">The DOL 2024 Fiduciary Rule, which extends fiduciary standards to all retirement account advice regardless of channel, adds approximately $3.3 billion in industry-wide compliance cost. Commission-based models applied to retirement assets are under terminal regulatory pressure. Firms that have not already transitioned to fee-only or hybrid models face both compliance cost and reputational risk in serving the next generation of heirs, who are both digitally informed and fiduciary-aware (Ensor et al., 2020).</w:t>
      </w:r>
    </w:p>
    <w:p>
      <w:pPr>
        <w:pStyle w:val="Heading2"/>
        <w:spacing w:after="100" w:before="240" w:line="276" w:lineRule="auto"/>
        <w:jc w:val="left"/>
      </w:pPr>
      <w:r>
        <w:rPr>
          <w:rFonts w:ascii="Times New Roman" w:cs="Times New Roman" w:eastAsia="Times New Roman" w:hAnsi="Times New Roman"/>
          <w:b/>
          <w:bCs/>
          <w:sz w:val="24"/>
          <w:szCs w:val="24"/>
        </w:rPr>
        <w:t xml:space="preserve">Tiered Fee Architecture as the Winning Model</w:t>
      </w:r>
    </w:p>
    <w:p>
      <w:pPr>
        <w:spacing w:after="100" w:before="0" w:line="276" w:lineRule="auto"/>
        <w:jc w:val="both"/>
      </w:pPr>
      <w:r>
        <w:rPr>
          <w:rFonts w:ascii="Times New Roman" w:cs="Times New Roman" w:eastAsia="Times New Roman" w:hAnsi="Times New Roman"/>
          <w:sz w:val="22"/>
          <w:szCs w:val="22"/>
        </w:rPr>
        <w:t xml:space="preserve">The strategic response to fee compression is not fee reduction — it is fee differentiation. Firms that offer a tiered architecture — premium AUM fees for complex, high-net-worth households that genuinely require comprehensive estate planning, tax coordination, and multi-generational advisory; flat-fee or subscription access for emerging mass-affluent clients with simpler needs — capture both market segments without structural conflict (Fraser, Payne &amp; Schatzle). The subscription model averages approximately $4,200 annually across the industry, but top-performing independent RIAs are charging $6,000–$12,000 for subscription tiers that include estate plan coordination, tax return review, and quarterly behavioral coaching sessions. This positions the subscription as a value-premium product rather than a discount alternative.</w:t>
      </w:r>
    </w:p>
    <w:p>
      <w:pPr>
        <w:spacing w:after="100" w:before="0" w:line="276" w:lineRule="auto"/>
        <w:jc w:val="both"/>
      </w:pPr>
      <w:r>
        <w:rPr>
          <w:rFonts w:ascii="Times New Roman" w:cs="Times New Roman" w:eastAsia="Times New Roman" w:hAnsi="Times New Roman"/>
          <w:sz w:val="22"/>
          <w:szCs w:val="22"/>
        </w:rPr>
        <w:t xml:space="preserve">The winning fee architecture for a transfer-ready firm includes: (1) a subscription or flat-fee tier for heirs with newly inherited assets below $500K; (2) a tiered AUM fee (declining basis points at higher AUM) for clients above $500K with investment management as the primary service; and (3) outcome-based or project-based fees for complex estate planning, business succession, or philanthropic structuring engagements. This architecture aligns advisor incentives with client outcomes across the full lifecycle of the client relationship.</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9: TECHNOLOGY AND AI</w:t>
      </w:r>
    </w:p>
    <w:p>
      <w:pPr>
        <w:pStyle w:val="Heading2"/>
        <w:spacing w:after="100" w:before="240" w:line="276" w:lineRule="auto"/>
        <w:jc w:val="left"/>
      </w:pPr>
      <w:r>
        <w:rPr>
          <w:rFonts w:ascii="Times New Roman" w:cs="Times New Roman" w:eastAsia="Times New Roman" w:hAnsi="Times New Roman"/>
          <w:b/>
          <w:bCs/>
          <w:sz w:val="24"/>
          <w:szCs w:val="24"/>
        </w:rPr>
        <w:t xml:space="preserve">Three Waves of Technology Disruption</w:t>
      </w:r>
    </w:p>
    <w:p>
      <w:pPr>
        <w:spacing w:after="100" w:before="0" w:line="276" w:lineRule="auto"/>
        <w:jc w:val="both"/>
      </w:pPr>
      <w:r>
        <w:rPr>
          <w:rFonts w:ascii="Times New Roman" w:cs="Times New Roman" w:eastAsia="Times New Roman" w:hAnsi="Times New Roman"/>
          <w:sz w:val="22"/>
          <w:szCs w:val="22"/>
        </w:rPr>
        <w:t xml:space="preserve">Technology has disrupted wealth management in three structurally distinct waves, each redefining the advisor's value proposition rather than eliminating it.</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Wave</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Period</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Disruption</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Advisor Value Proposition</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Wave 1</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1980s–2000s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Back-office digitization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Relationship manager</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Wave 2</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1995–2015</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Internet / online brokerage / robo-advisors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Fiduciary planning value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Wave 3</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2020–present</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GenAI / LLMs / digital twins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AI-augmented orchestrator</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Wave 3: Generative AI and the Augmentation Thesis</w:t>
      </w:r>
    </w:p>
    <w:p>
      <w:pPr>
        <w:spacing w:after="100" w:before="0" w:line="276" w:lineRule="auto"/>
        <w:jc w:val="both"/>
      </w:pPr>
      <w:r>
        <w:rPr>
          <w:rFonts w:ascii="Times New Roman" w:cs="Times New Roman" w:eastAsia="Times New Roman" w:hAnsi="Times New Roman"/>
          <w:sz w:val="22"/>
          <w:szCs w:val="22"/>
        </w:rPr>
        <w:t xml:space="preserve">The current technological wave is qualitatively different from its predecessors in two respects: it affects cognitive rather than merely transactional tasks, and it improves at an exponential rather than linear rate. Robo-advisory AUM grew from $56 billion in 2017 to $2.76 trillion in 2024 and is projected to reach $5.9 trillion by 2027 (Rico Pérez et al., 2024). This growth, however, has not displaced human advisors — it has absorbed the simple, price-sensitive segment of the market and in doing so clarified the premium for human advisory expertise in complex situations.</w:t>
      </w:r>
    </w:p>
    <w:p>
      <w:pPr>
        <w:spacing w:after="100" w:before="0" w:line="276" w:lineRule="auto"/>
        <w:jc w:val="both"/>
      </w:pPr>
      <w:r>
        <w:rPr>
          <w:rFonts w:ascii="Times New Roman" w:cs="Times New Roman" w:eastAsia="Times New Roman" w:hAnsi="Times New Roman"/>
          <w:sz w:val="22"/>
          <w:szCs w:val="22"/>
        </w:rPr>
        <w:t xml:space="preserve">Generative AI introduces a fundamentally different challenge. Forty-three percent of advisor tasks are susceptible to LLM augmentation — not replacement, but material enhancement in speed and quality — according to analysis of task taxonomy data. PwC estimates that GenAI could add $340 billion in annual value to global financial services. Bhardwaj (2025) documents the specific mechanisms: AI-generated portfolio commentary, natural language client reporting, automated compliance documentation, and real-time tax-loss harvesting signals. Bandi (2025) finds that advisors deploying AI-assisted client reporting tools reduce administrative time by 34% and increase client-facing time by an equivalent amount.</w:t>
      </w:r>
    </w:p>
    <w:p>
      <w:pPr>
        <w:pStyle w:val="Heading2"/>
        <w:spacing w:after="100" w:before="240" w:line="276" w:lineRule="auto"/>
        <w:jc w:val="left"/>
      </w:pPr>
      <w:r>
        <w:rPr>
          <w:rFonts w:ascii="Times New Roman" w:cs="Times New Roman" w:eastAsia="Times New Roman" w:hAnsi="Times New Roman"/>
          <w:b/>
          <w:bCs/>
          <w:sz w:val="24"/>
          <w:szCs w:val="24"/>
        </w:rPr>
        <w:t xml:space="preserve">AI-Powered Personalization at Scale</w:t>
      </w:r>
    </w:p>
    <w:p>
      <w:pPr>
        <w:spacing w:after="100" w:before="0" w:line="276" w:lineRule="auto"/>
        <w:jc w:val="both"/>
      </w:pPr>
      <w:r>
        <w:rPr>
          <w:rFonts w:ascii="Times New Roman" w:cs="Times New Roman" w:eastAsia="Times New Roman" w:hAnsi="Times New Roman"/>
          <w:sz w:val="22"/>
          <w:szCs w:val="22"/>
        </w:rPr>
        <w:t xml:space="preserve">Narayan (2025) establishes the theoretical basis for hyper-personalization in wealth management: the use of machine learning models trained on behavioral, financial, and demographic data to generate individualized advisory recommendations and communication cadences. The commercial application is significant. Advisors using digital planning tools (eMoney, MoneyGuidePro) with AI-enhanced analytics retain clients at 94% versus 88% for advisors without such tools — a 6-percentage-point retention differential that compounds substantially at scale (Takayanagi et al., 2025).</w:t>
      </w:r>
    </w:p>
    <w:p>
      <w:pPr>
        <w:spacing w:after="100" w:before="0" w:line="276" w:lineRule="auto"/>
        <w:jc w:val="both"/>
      </w:pPr>
      <w:r>
        <w:rPr>
          <w:rFonts w:ascii="Times New Roman" w:cs="Times New Roman" w:eastAsia="Times New Roman" w:hAnsi="Times New Roman"/>
          <w:sz w:val="22"/>
          <w:szCs w:val="22"/>
        </w:rPr>
        <w:t xml:space="preserve">Yang &amp; Lee (2024) test the client-side acceptance of AI-generated financial recommendations, finding that acceptance is highest when the AI recommendation is validated by a human advisor — the "human-in-the-loop" architecture. The implication: AI does not replace the advisor in the trust relationship; it extends the advisor's analytical capacity while the advisor maintains the trust anchor. Anshari et al. (2022) document that clients who experience AI-enhanced advisory services report higher satisfaction scores than those receiving purely human advisory, primarily because AI-enhanced advisors make fewer data errors and respond faster to client inquiries.</w:t>
      </w:r>
    </w:p>
    <w:p>
      <w:pPr>
        <w:pStyle w:val="Heading2"/>
        <w:spacing w:after="100" w:before="240" w:line="276" w:lineRule="auto"/>
        <w:jc w:val="left"/>
      </w:pPr>
      <w:r>
        <w:rPr>
          <w:rFonts w:ascii="Times New Roman" w:cs="Times New Roman" w:eastAsia="Times New Roman" w:hAnsi="Times New Roman"/>
          <w:b/>
          <w:bCs/>
          <w:sz w:val="24"/>
          <w:szCs w:val="24"/>
        </w:rPr>
        <w:t xml:space="preserve">Trust Architecture at the Inheritance Event</w:t>
      </w:r>
    </w:p>
    <w:p>
      <w:pPr>
        <w:spacing w:after="100" w:before="0" w:line="276" w:lineRule="auto"/>
        <w:jc w:val="both"/>
      </w:pPr>
      <w:r>
        <w:rPr>
          <w:rFonts w:ascii="Times New Roman" w:cs="Times New Roman" w:eastAsia="Times New Roman" w:hAnsi="Times New Roman"/>
          <w:sz w:val="22"/>
          <w:szCs w:val="22"/>
        </w:rPr>
        <w:t xml:space="preserve">The critical unresolved question in the Wave 3 technology literature is how AI-augmented advisory performs specifically at the inheritance transition. Liu (2026) argues that the inheritance event is a "high-stakes trust audit" in which clients evaluate the advisory relationship against the full weight of the decision they face. In this context, AI that is poorly deployed — generating generic recommendations, failing to acknowledge the emotional complexity of the event, or creating friction in communication — can catastrophically accelerate switching. AI well-deployed — generating hyper-personalized heir outreach, anticipating estate planning questions, and presenting the advisor as comprehensively prepared — can be the differentiator that converts a 46% switching probability into a retention.</w:t>
      </w:r>
    </w:p>
    <w:p>
      <w:pPr>
        <w:spacing w:after="100" w:before="0" w:line="276" w:lineRule="auto"/>
        <w:jc w:val="both"/>
      </w:pPr>
      <w:r>
        <w:rPr>
          <w:rFonts w:ascii="Times New Roman" w:cs="Times New Roman" w:eastAsia="Times New Roman" w:hAnsi="Times New Roman"/>
          <w:sz w:val="22"/>
          <w:szCs w:val="22"/>
        </w:rPr>
        <w:t xml:space="preserve">Oliveira (2026) and Yaramolu (2025) each address the trust boundaries of AI in financial services, converging on the finding that AI trust is context-dependent. The same client who trusts AI for portfolio rebalancing may distrust AI for estate planning advice — a domain where the perceived stakes are higher and the emotional context more charged. Advisory teams that deploy AI tactically — automating low-stakes tasks to create time for high-stakes human engagement — are better positioned than those that deploy AI comprehensively without regard to trust context. Srivastava et al. (2025) formalize this as the "AI trust boundary" concept: a client-specific threshold beyond which AI deployment erodes rather than enhances advisory value.</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10: CLIENT ACQUISITION</w:t>
      </w:r>
    </w:p>
    <w:p>
      <w:pPr>
        <w:pStyle w:val="Heading2"/>
        <w:spacing w:after="100" w:before="240" w:line="276" w:lineRule="auto"/>
        <w:jc w:val="left"/>
      </w:pPr>
      <w:r>
        <w:rPr>
          <w:rFonts w:ascii="Times New Roman" w:cs="Times New Roman" w:eastAsia="Times New Roman" w:hAnsi="Times New Roman"/>
          <w:b/>
          <w:bCs/>
          <w:sz w:val="24"/>
          <w:szCs w:val="24"/>
        </w:rPr>
        <w:t xml:space="preserve">Acquisition Channels in the Transfer Era</w:t>
      </w:r>
    </w:p>
    <w:p>
      <w:pPr>
        <w:spacing w:after="100" w:before="0" w:line="276" w:lineRule="auto"/>
        <w:jc w:val="both"/>
      </w:pPr>
      <w:r>
        <w:rPr>
          <w:rFonts w:ascii="Times New Roman" w:cs="Times New Roman" w:eastAsia="Times New Roman" w:hAnsi="Times New Roman"/>
          <w:sz w:val="22"/>
          <w:szCs w:val="22"/>
        </w:rPr>
        <w:t xml:space="preserve">The wealth transfer does not merely create retention challenges for incumbents — it creates acquisition opportunities for challengers. Every estate event that results in a switching decision is an inbound opportunity for a well-positioned competitor. The strategic question is which acquisition channels are most effective at capturing these events at scale.</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Acquisition Channel</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Effectiveness</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Data Point</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Client referrals (10+ yr advisors)</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Dominant</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79% of new relationships</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Client referrals (&lt;5 yr advisors)</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Declining</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61% of new relationships</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Thought leadership content</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High</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2.4x more inbound inquiries; 35% higher close rate</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LinkedIn presence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Critical</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73% of UHNW research advisors on LinkedIn; only 41% of advisors active</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Structured heir engagement</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Highest ROI</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340% 5-year ROI on program cost (EY)</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Probate record prospecting</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Underutilized</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~800K estates &gt;$500K filed annually</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The Referral Model's Scaling Constraint</w:t>
      </w:r>
    </w:p>
    <w:p>
      <w:pPr>
        <w:spacing w:after="100" w:before="0" w:line="276" w:lineRule="auto"/>
        <w:jc w:val="both"/>
      </w:pPr>
      <w:r>
        <w:rPr>
          <w:rFonts w:ascii="Times New Roman" w:cs="Times New Roman" w:eastAsia="Times New Roman" w:hAnsi="Times New Roman"/>
          <w:sz w:val="22"/>
          <w:szCs w:val="22"/>
        </w:rPr>
        <w:t xml:space="preserve">Referral-based acquisition has been the dominant growth model for wealth management advisors for decades, and it remains effective — 79% of new relationships for advisors with tenure exceeding 10 years originate from client referrals (Chang &amp; Yao, 2015). However, the referral model has a structural scaling constraint: it is a lagging indicator of relationship quality, not a proactive acquisition engine. In a transfer environment where switching decisions happen in the 12-month window immediately following an estate event, the referral model is too slow. The heir has typically already made their advisor selection decision before the existing client's referral has been activated.</w:t>
      </w:r>
    </w:p>
    <w:p>
      <w:pPr>
        <w:spacing w:after="100" w:before="0" w:line="276" w:lineRule="auto"/>
        <w:jc w:val="both"/>
      </w:pPr>
      <w:r>
        <w:rPr>
          <w:rFonts w:ascii="Times New Roman" w:cs="Times New Roman" w:eastAsia="Times New Roman" w:hAnsi="Times New Roman"/>
          <w:sz w:val="22"/>
          <w:szCs w:val="22"/>
        </w:rPr>
        <w:t xml:space="preserve">Wong &amp; Ho (2022) document that referral-based acquisition rates decline proportionally as advisor tenure shortens — from 79% for tenured advisors to 61% for advisors with less than 5 years' experience. For emerging teams building their practices to capture transfer-era growth, referral dependence is insufficient. Building parallel acquisition channels — digital authority, structured heir programs, and event-triggered outreach — is not optional.</w:t>
      </w:r>
    </w:p>
    <w:p>
      <w:pPr>
        <w:pStyle w:val="Heading2"/>
        <w:spacing w:after="100" w:before="240" w:line="276" w:lineRule="auto"/>
        <w:jc w:val="left"/>
      </w:pPr>
      <w:r>
        <w:rPr>
          <w:rFonts w:ascii="Times New Roman" w:cs="Times New Roman" w:eastAsia="Times New Roman" w:hAnsi="Times New Roman"/>
          <w:b/>
          <w:bCs/>
          <w:sz w:val="24"/>
          <w:szCs w:val="24"/>
        </w:rPr>
        <w:t xml:space="preserve">Digital Authority as Acquisition Infrastructure</w:t>
      </w:r>
    </w:p>
    <w:p>
      <w:pPr>
        <w:spacing w:after="100" w:before="0" w:line="276" w:lineRule="auto"/>
        <w:jc w:val="both"/>
      </w:pPr>
      <w:r>
        <w:rPr>
          <w:rFonts w:ascii="Times New Roman" w:cs="Times New Roman" w:eastAsia="Times New Roman" w:hAnsi="Times New Roman"/>
          <w:sz w:val="22"/>
          <w:szCs w:val="22"/>
        </w:rPr>
        <w:t xml:space="preserve">Thought leadership content — white papers, webinars, estate planning guides, tax alert newsletters — generates 2.4 times more inbound inquiries than advisor directories or cold outreach, and these inquiries close at a 35% higher rate because they are self-qualified by topic relevance (Richards). The mechanism: a Millennial heir searching for guidance after receiving a $600,000 inheritance finds an advisor's guide to inherited IRA rollover decisions through a Google search or LinkedIn article, and initiates contact having already formed a positive competence impression.</w:t>
      </w:r>
    </w:p>
    <w:p>
      <w:pPr>
        <w:spacing w:after="100" w:before="0" w:line="276" w:lineRule="auto"/>
        <w:jc w:val="both"/>
      </w:pPr>
      <w:r>
        <w:rPr>
          <w:rFonts w:ascii="Times New Roman" w:cs="Times New Roman" w:eastAsia="Times New Roman" w:hAnsi="Times New Roman"/>
          <w:sz w:val="22"/>
          <w:szCs w:val="22"/>
        </w:rPr>
        <w:t xml:space="preserve">LinkedIn data is striking in its asymmetry: 73% of UHNW prospects research advisors on LinkedIn before engaging, yet only 41% of advisors maintain an active LinkedIn presence. George &amp; Coffi (2022) document that advisors with consistent LinkedIn publishing (minimum 2 posts per week, content anchored to estate planning, tax strategy, and behavioral finance) generate measurably higher inbound inquiry rates than peer advisors without an active presence. The investment required is modest relative to the acquisition value of a single inheritance-event client: one 45-minute webinar on inherited IRA strategies, distributed to 2,000 LinkedIn connections, generates an estimated 3–5 qualified heir introductions per event.</w:t>
      </w:r>
    </w:p>
    <w:p>
      <w:pPr>
        <w:pStyle w:val="Heading2"/>
        <w:spacing w:after="100" w:before="240" w:line="276" w:lineRule="auto"/>
        <w:jc w:val="left"/>
      </w:pPr>
      <w:r>
        <w:rPr>
          <w:rFonts w:ascii="Times New Roman" w:cs="Times New Roman" w:eastAsia="Times New Roman" w:hAnsi="Times New Roman"/>
          <w:b/>
          <w:bCs/>
          <w:sz w:val="24"/>
          <w:szCs w:val="24"/>
        </w:rPr>
        <w:t xml:space="preserve">Life-Event Trigger Outreach</w:t>
      </w:r>
    </w:p>
    <w:p>
      <w:pPr>
        <w:spacing w:after="100" w:before="0" w:line="276" w:lineRule="auto"/>
        <w:jc w:val="both"/>
      </w:pPr>
      <w:r>
        <w:rPr>
          <w:rFonts w:ascii="Times New Roman" w:cs="Times New Roman" w:eastAsia="Times New Roman" w:hAnsi="Times New Roman"/>
          <w:sz w:val="22"/>
          <w:szCs w:val="22"/>
        </w:rPr>
        <w:t xml:space="preserve">The most systematically underutilized acquisition channel in wealth management is life-event triggered outreach. Probate records in the United States are public documents in most jurisdictions, and approximately 800,000 estates exceeding $500,000 are filed annually — each representing an heir making an advisor selection decision (Ginovsky (2014); Bonelli (2025)). Advisors who monitor probate filings in their target geographic markets, cross-reference against their existing client relationship maps, and execute timely, personalized outreach to heirs identified through these records are operating a data-driven acquisition engine that most competitors are ignoring.</w:t>
      </w:r>
    </w:p>
    <w:p>
      <w:pPr>
        <w:spacing w:after="100" w:before="0" w:line="276" w:lineRule="auto"/>
        <w:jc w:val="both"/>
      </w:pPr>
      <w:r>
        <w:rPr>
          <w:rFonts w:ascii="Times New Roman" w:cs="Times New Roman" w:eastAsia="Times New Roman" w:hAnsi="Times New Roman"/>
          <w:sz w:val="22"/>
          <w:szCs w:val="22"/>
        </w:rPr>
        <w:t xml:space="preserve">The compliance parameters for probate-sourced outreach are well established and do not prohibit contact; they require disclosure and honesty about the contact's origin. The ROI is substantial: a single successful conversion of an inherited $1 million estate at 88 bps generates $8,800 in annual recurring revenue, with a client lifetime value (at industry-average tenure) exceeding $120,000.</w:t>
      </w: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11: COMPETITIVE LANDSCAPE</w:t>
      </w:r>
    </w:p>
    <w:p>
      <w:pPr>
        <w:pStyle w:val="Heading2"/>
        <w:spacing w:after="100" w:before="240" w:line="276" w:lineRule="auto"/>
        <w:jc w:val="left"/>
      </w:pPr>
      <w:r>
        <w:rPr>
          <w:rFonts w:ascii="Times New Roman" w:cs="Times New Roman" w:eastAsia="Times New Roman" w:hAnsi="Times New Roman"/>
          <w:b/>
          <w:bCs/>
          <w:sz w:val="24"/>
          <w:szCs w:val="24"/>
        </w:rPr>
        <w:t xml:space="preserve">The Five Advisory Archetypes</w:t>
      </w:r>
    </w:p>
    <w:p>
      <w:pPr>
        <w:spacing w:after="100" w:before="0" w:line="276" w:lineRule="auto"/>
        <w:jc w:val="both"/>
      </w:pPr>
      <w:r>
        <w:rPr>
          <w:rFonts w:ascii="Times New Roman" w:cs="Times New Roman" w:eastAsia="Times New Roman" w:hAnsi="Times New Roman"/>
          <w:sz w:val="22"/>
          <w:szCs w:val="22"/>
        </w:rPr>
        <w:t xml:space="preserve">Wealth management is not a monolithic industry. It is a segmented competitive arena in which five structurally distinct archetypes compete for assets, with different advantages and vulnerabilities at the transfer event.</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Archetype</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AUM / Market Share</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Structural Advantage</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Transfer Vulnerability</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Wirehouses (MS, Merrill, UBS, Wells)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$10T+ combined; headcount: 38% (down from 53% in 2010)</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Brand, product platform, UHNW trust</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Aging advisor base; legacy comp structure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PE-backed RIA Aggregators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342 M&amp;A deals in 2023; 60% of deal volume</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Fiduciary credibility, scale, succession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Integration risk; culture dilution</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Independent RIAs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$9T+ custodied; 31% of headcount (up from 18%)</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Advisor loyalty, fee flexibility</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Lack UHNW product depth, marketing scale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Digital Platforms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Betterment ~$45B; Wealthfront ~$70B</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Cost, UX, next-gen resonance</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No trust architecture for complex estates</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Family Offices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$5.9T globally; SFOs up 29% (2019–2024)</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Bespoke, no conflicts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Only accessible at UHNW level</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Wirehouses: Defending a Declining Share</w:t>
      </w:r>
    </w:p>
    <w:p>
      <w:pPr>
        <w:spacing w:after="100" w:before="0" w:line="276" w:lineRule="auto"/>
        <w:jc w:val="both"/>
      </w:pPr>
      <w:r>
        <w:rPr>
          <w:rFonts w:ascii="Times New Roman" w:cs="Times New Roman" w:eastAsia="Times New Roman" w:hAnsi="Times New Roman"/>
          <w:sz w:val="22"/>
          <w:szCs w:val="22"/>
        </w:rPr>
        <w:t xml:space="preserve">The four major wirehouses — Morgan Stanley, Merrill Lynch, UBS, and Wells Fargo Advisors — command the largest combined AUM in the industry at over $10 trillion, but their competitive position has been deteriorating for 15 years. Headcount market share has declined from 53% in 2010 to 38% currently, driven by advisor attrition to independent channels (Prabhakaran). The wirehouse model's structural weakness at transfer events is its compensation architecture: wirehouse advisors are employees whose book of business belongs to the firm, not the advisor. This creates retention risk when a key advisor retires — the heir relationship, if it exists at all, may be with an advisor who departs and takes institutional knowledge with them. Davitaia (2025) documents that wirehouse advisor retirement events create immediate heir-switching triggers because heirs are assigned replacement advisors rather than maintaining continuity.</w:t>
      </w:r>
    </w:p>
    <w:p>
      <w:pPr>
        <w:pStyle w:val="Heading2"/>
        <w:spacing w:after="100" w:before="240" w:line="276" w:lineRule="auto"/>
        <w:jc w:val="left"/>
      </w:pPr>
      <w:r>
        <w:rPr>
          <w:rFonts w:ascii="Times New Roman" w:cs="Times New Roman" w:eastAsia="Times New Roman" w:hAnsi="Times New Roman"/>
          <w:b/>
          <w:bCs/>
          <w:sz w:val="24"/>
          <w:szCs w:val="24"/>
        </w:rPr>
        <w:t xml:space="preserve">PE-Backed RIA Aggregators: Scale with Succession Risk</w:t>
      </w:r>
    </w:p>
    <w:p>
      <w:pPr>
        <w:spacing w:after="100" w:before="0" w:line="276" w:lineRule="auto"/>
        <w:jc w:val="both"/>
      </w:pPr>
      <w:r>
        <w:rPr>
          <w:rFonts w:ascii="Times New Roman" w:cs="Times New Roman" w:eastAsia="Times New Roman" w:hAnsi="Times New Roman"/>
          <w:sz w:val="22"/>
          <w:szCs w:val="22"/>
        </w:rPr>
        <w:t xml:space="preserve">The PE-backed aggregator model — exemplified by firms like Creative Planning, Mercer Advisors, and Mariner Wealth Advisors — has been the most actively expanding segment of wealth management, executing 342 M&amp;A transactions in 2023 alone (Rico Pérez et al., 2024). The strategic logic is sound: aggregators acquire independent RIAs to solve their succession problem while providing back-office scale and marketing infrastructure. However, the M&amp;A process itself creates transfer vulnerability. Heirs inheriting assets from a client of an acquired RIA face a relationship that has changed hands — often with new advisor assignments, rebranding, and system migrations that disrupt the continuity signals heirs use to evaluate whether to remain in the relationship (Maple et al., 2023).</w:t>
      </w:r>
    </w:p>
    <w:p>
      <w:pPr>
        <w:pStyle w:val="Heading2"/>
        <w:spacing w:after="100" w:before="240" w:line="276" w:lineRule="auto"/>
        <w:jc w:val="left"/>
      </w:pPr>
      <w:r>
        <w:rPr>
          <w:rFonts w:ascii="Times New Roman" w:cs="Times New Roman" w:eastAsia="Times New Roman" w:hAnsi="Times New Roman"/>
          <w:b/>
          <w:bCs/>
          <w:sz w:val="24"/>
          <w:szCs w:val="24"/>
        </w:rPr>
        <w:t xml:space="preserve">Independent RIAs: Structural Advantages, Scale Constraints</w:t>
      </w:r>
    </w:p>
    <w:p>
      <w:pPr>
        <w:spacing w:after="100" w:before="0" w:line="276" w:lineRule="auto"/>
        <w:jc w:val="both"/>
      </w:pPr>
      <w:r>
        <w:rPr>
          <w:rFonts w:ascii="Times New Roman" w:cs="Times New Roman" w:eastAsia="Times New Roman" w:hAnsi="Times New Roman"/>
          <w:sz w:val="22"/>
          <w:szCs w:val="22"/>
        </w:rPr>
        <w:t xml:space="preserve">Independent RIAs have grown from 18% of advisor headcount in 2010 to 31% currently, custodying over $9 trillion in assets. Their structural advantages are well-documented: fiduciary standard, fee flexibility, and advisor ownership of client relationships (meaning continuity is maintained through advisor choice rather than firm assignment). Srivastava et al. (2025) find that independent RIA clients report the highest trust scores of any advisory archetype. The constraints are equally real: most independent RIAs lack the product platform depth to serve UHNW clients requiring alternative investments, trust administration, and international wealth structuring; and they lack the marketing infrastructure to compete for digitally-sourced heir acquisition at scale.</w:t>
      </w:r>
    </w:p>
    <w:p>
      <w:pPr>
        <w:pStyle w:val="Heading2"/>
        <w:spacing w:after="100" w:before="240" w:line="276" w:lineRule="auto"/>
        <w:jc w:val="left"/>
      </w:pPr>
      <w:r>
        <w:rPr>
          <w:rFonts w:ascii="Times New Roman" w:cs="Times New Roman" w:eastAsia="Times New Roman" w:hAnsi="Times New Roman"/>
          <w:b/>
          <w:bCs/>
          <w:sz w:val="24"/>
          <w:szCs w:val="24"/>
        </w:rPr>
        <w:t xml:space="preserve">Digital Platforms: Next-Gen Appeal Without Estate Architecture</w:t>
      </w:r>
    </w:p>
    <w:p>
      <w:pPr>
        <w:spacing w:after="100" w:before="0" w:line="276" w:lineRule="auto"/>
        <w:jc w:val="both"/>
      </w:pPr>
      <w:r>
        <w:rPr>
          <w:rFonts w:ascii="Times New Roman" w:cs="Times New Roman" w:eastAsia="Times New Roman" w:hAnsi="Times New Roman"/>
          <w:sz w:val="22"/>
          <w:szCs w:val="22"/>
        </w:rPr>
        <w:t xml:space="preserve">Digital advisory platforms have established a durable position in the mass-affluent segment. Betterment manages approximately $45 billion; Wealthfront approximately $70 billion. Their next-generation resonance is genuine — 55% of Millennial investors report having used a robo-advisor at some point (Ginovsky (2014)). Their structural limitation for the transfer market is the absence of trust architecture for complex estate situations. A $2 million inherited portfolio with tax basis issues, beneficiary designation conflicts, and charitable giving considerations requires human advisory capacity that no current digital platform provides.</w:t>
      </w:r>
    </w:p>
    <w:p>
      <w:pPr>
        <w:pStyle w:val="Heading2"/>
        <w:spacing w:after="100" w:before="240" w:line="276" w:lineRule="auto"/>
        <w:jc w:val="left"/>
      </w:pPr>
      <w:r>
        <w:rPr>
          <w:rFonts w:ascii="Times New Roman" w:cs="Times New Roman" w:eastAsia="Times New Roman" w:hAnsi="Times New Roman"/>
          <w:b/>
          <w:bCs/>
          <w:sz w:val="24"/>
          <w:szCs w:val="24"/>
        </w:rPr>
        <w:t xml:space="preserve">Family Offices: The UHNW Standard</w:t>
      </w:r>
    </w:p>
    <w:p>
      <w:pPr>
        <w:spacing w:after="100" w:before="0" w:line="276" w:lineRule="auto"/>
        <w:jc w:val="both"/>
      </w:pPr>
      <w:r>
        <w:rPr>
          <w:rFonts w:ascii="Times New Roman" w:cs="Times New Roman" w:eastAsia="Times New Roman" w:hAnsi="Times New Roman"/>
          <w:sz w:val="22"/>
          <w:szCs w:val="22"/>
        </w:rPr>
        <w:t xml:space="preserve">Single-family offices (SFOs) have grown 29% globally between 2019 and 2024, now managing approximately $5.9 trillion. For UHNW families with estates exceeding $50 million, the SFO model offers the closest alignment of interests — no conflicts from product distribution, fully customized governance, and multi-generational continuity planning. The limitation is access: SFO economics require a minimum sustainable estate size that excludes the vast majority of the transfer market.</w:t>
      </w:r>
    </w:p>
    <w:p>
      <w:pPr>
        <w:spacing w:after="100" w:before="0" w:line="276" w:lineRule="auto"/>
        <w:jc w:val="both"/>
      </w:pPr>
      <w:r>
        <w:rPr>
          <w:rFonts w:ascii="Times New Roman" w:cs="Times New Roman" w:eastAsia="Times New Roman" w:hAnsi="Times New Roman"/>
          <w:b/>
          <w:bCs/>
          <w:sz w:val="22"/>
          <w:szCs w:val="22"/>
        </w:rPr>
        <w:t xml:space="preserve">Key finding:</w:t>
      </w:r>
      <w:r>
        <w:rPr>
          <w:rFonts w:ascii="Times New Roman" w:cs="Times New Roman" w:eastAsia="Times New Roman" w:hAnsi="Times New Roman"/>
          <w:sz w:val="22"/>
          <w:szCs w:val="22"/>
        </w:rPr>
        <w:t xml:space="preserve"> Firms with explicit next-generation programs retain 73% of inherited assets; those without retain only 39% (McKinsey). This 34-percentage-point retention differential, applied to the $84.4 trillion transfer, translates to approximately $28.7 trillion in assets that will follow the engagement quality of the incumbent advisor's next-gen program — or not.</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12: QUANTITATIVE FRAMEWORK</w:t>
      </w:r>
    </w:p>
    <w:p>
      <w:pPr>
        <w:pStyle w:val="Heading2"/>
        <w:spacing w:after="100" w:before="240" w:line="276" w:lineRule="auto"/>
        <w:jc w:val="left"/>
      </w:pPr>
      <w:r>
        <w:rPr>
          <w:rFonts w:ascii="Times New Roman" w:cs="Times New Roman" w:eastAsia="Times New Roman" w:hAnsi="Times New Roman"/>
          <w:b/>
          <w:bCs/>
          <w:sz w:val="24"/>
          <w:szCs w:val="24"/>
        </w:rPr>
        <w:t xml:space="preserve">Simulation Study Design</w:t>
      </w:r>
    </w:p>
    <w:p>
      <w:pPr>
        <w:spacing w:after="100" w:before="0" w:line="276" w:lineRule="auto"/>
        <w:jc w:val="both"/>
      </w:pPr>
      <w:r>
        <w:rPr>
          <w:rFonts w:ascii="Times New Roman" w:cs="Times New Roman" w:eastAsia="Times New Roman" w:hAnsi="Times New Roman"/>
          <w:sz w:val="22"/>
          <w:szCs w:val="22"/>
        </w:rPr>
        <w:t xml:space="preserve">This chapter reports a simulation-based analysis of the binary logistic regression model specified in the preceding conceptual framework. Because no existing dataset provides the advisor-level transfer event data required to estimate the model directly, a synthetic dataset was generated using empirical parameter ranges drawn from the verified literature. This approach — standard in theory-building dissertations that propose new empirical models — produces illustrative estimated coefficients and validates the model's discriminative capacity. All assumptions are made explicit and reproducible (Martino &amp; Ventre, 2023).</w:t>
      </w:r>
    </w:p>
    <w:p>
      <w:pPr>
        <w:spacing w:after="100" w:before="0" w:line="276" w:lineRule="auto"/>
        <w:jc w:val="both"/>
      </w:pPr>
      <w:r>
        <w:rPr>
          <w:rFonts w:ascii="Times New Roman" w:cs="Times New Roman" w:eastAsia="Times New Roman" w:hAnsi="Times New Roman"/>
          <w:b/>
          <w:bCs/>
          <w:sz w:val="22"/>
          <w:szCs w:val="22"/>
        </w:rPr>
        <w:t xml:space="preserve">Research Question:</w:t>
      </w:r>
      <w:r>
        <w:rPr>
          <w:rFonts w:ascii="Times New Roman" w:cs="Times New Roman" w:eastAsia="Times New Roman" w:hAnsi="Times New Roman"/>
          <w:sz w:val="22"/>
          <w:szCs w:val="22"/>
        </w:rPr>
        <w:t xml:space="preserve"> Do measurable team-level characteristics — heir engagement frequency, estate planning integration, technology adoption, fee model type, advisor age, team composition, and ESG capability — significantly predict AUM retention 24 months after the primary transfer event, controlling for estate size and market conditions?</w:t>
      </w:r>
    </w:p>
    <w:p>
      <w:pPr>
        <w:pStyle w:val="Heading2"/>
        <w:spacing w:after="100" w:before="240" w:line="276" w:lineRule="auto"/>
        <w:jc w:val="left"/>
      </w:pPr>
      <w:r>
        <w:rPr>
          <w:rFonts w:ascii="Times New Roman" w:cs="Times New Roman" w:eastAsia="Times New Roman" w:hAnsi="Times New Roman"/>
          <w:b/>
          <w:bCs/>
          <w:sz w:val="24"/>
          <w:szCs w:val="24"/>
        </w:rPr>
        <w:t xml:space="preserve">Data Generating Process</w:t>
      </w:r>
    </w:p>
    <w:p>
      <w:pPr>
        <w:spacing w:after="100" w:before="0" w:line="276" w:lineRule="auto"/>
        <w:jc w:val="both"/>
      </w:pPr>
      <w:r>
        <w:rPr>
          <w:rFonts w:ascii="Times New Roman" w:cs="Times New Roman" w:eastAsia="Times New Roman" w:hAnsi="Times New Roman"/>
          <w:sz w:val="22"/>
          <w:szCs w:val="22"/>
        </w:rPr>
        <w:t xml:space="preserve">The synthetic dataset comprises </w:t>
      </w:r>
      <w:r>
        <w:rPr>
          <w:rFonts w:ascii="Times New Roman" w:cs="Times New Roman" w:eastAsia="Times New Roman" w:hAnsi="Times New Roman"/>
          <w:b/>
          <w:bCs/>
          <w:sz w:val="22"/>
          <w:szCs w:val="22"/>
        </w:rPr>
        <w:t xml:space="preserve">N = 1,750 transfer events</w:t>
      </w:r>
      <w:r>
        <w:rPr>
          <w:rFonts w:ascii="Times New Roman" w:cs="Times New Roman" w:eastAsia="Times New Roman" w:hAnsi="Times New Roman"/>
          <w:sz w:val="22"/>
          <w:szCs w:val="22"/>
        </w:rPr>
        <w:t xml:space="preserve"> from </w:t>
      </w:r>
      <w:r>
        <w:rPr>
          <w:rFonts w:ascii="Times New Roman" w:cs="Times New Roman" w:eastAsia="Times New Roman" w:hAnsi="Times New Roman"/>
          <w:b/>
          <w:bCs/>
          <w:sz w:val="22"/>
          <w:szCs w:val="22"/>
        </w:rPr>
        <w:t xml:space="preserve">350 wealth management advisors</w:t>
      </w:r>
      <w:r>
        <w:rPr>
          <w:rFonts w:ascii="Times New Roman" w:cs="Times New Roman" w:eastAsia="Times New Roman" w:hAnsi="Times New Roman"/>
          <w:sz w:val="22"/>
          <w:szCs w:val="22"/>
        </w:rPr>
        <w:t xml:space="preserve"> (5 events per advisor), distributed across wirehouse (38%), PE-backed aggregator (31%), and independent RIA (31%) firm structures, reflecting FINRA industry headcount proportions (Prabhakaran). Predictor variables were parameterized from documented empirical ranges:</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Variable</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Simulation Parameters</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Empirical Source</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Heir engagement frequency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Wirehouse: μ=0.9, σ=0.8; RIA: μ=2.1, σ=1.2 (meetings/yr)</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Richards; J.D. Power (2024)</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Estate planning integration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Wirehouse: 38%; PE-agg: 48%; RIA: 55% adoption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Jackson; Miller &amp; Maine (2020)</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Technology adoption score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PE-agg: μ=6.8; RIA: μ=5.4; Wirehouse: μ=5.8 (0–10 index)</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Bandi (2025); Bhardwaj (2025)</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Fee model type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52% AUM-only, 32% tiered, 16% subscription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Turner &amp; Giordano (2020)</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Advisor age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μ=52, σ=10 years</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FINRA (2023)</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Team composition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38% have advisor under 40</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Li (2025)</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ESG capability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42% have credible ESG offering</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Maurya (2025)</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Transfer size (log)</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log-normal, μ=14.0, σ=0.9 (~$1.2M median)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Cerulli Associates</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Market return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μ=0.08, σ=0.15 (12-month equity return)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Historical index data</w:t>
            </w:r>
          </w:p>
        </w:tc>
      </w:tr>
    </w:tbl>
    <w:p>
      <w:pPr>
        <w:spacing w:after="120" w:before="0"/>
      </w:pPr>
    </w:p>
    <w:p>
      <w:pPr>
        <w:spacing w:after="100" w:before="0" w:line="276" w:lineRule="auto"/>
        <w:jc w:val="both"/>
      </w:pPr>
      <w:r>
        <w:rPr>
          <w:rFonts w:ascii="Times New Roman" w:cs="Times New Roman" w:eastAsia="Times New Roman" w:hAnsi="Times New Roman"/>
          <w:sz w:val="22"/>
          <w:szCs w:val="22"/>
        </w:rPr>
        <w:t xml:space="preserve">The true data-generating process used population coefficients calibrated to published effect sizes (heir engagement β=0.55, estate integration β=0.70, etc.), with a logistic error term. The estimated model was fitted to the simulated data — the estimated coefficients are therefore governed by statistical noise, finite-sample variation, and multicollinearity in the simulated predictors, not by the true coefficients. The overall simulated retention rate was </w:t>
      </w:r>
      <w:r>
        <w:rPr>
          <w:rFonts w:ascii="Times New Roman" w:cs="Times New Roman" w:eastAsia="Times New Roman" w:hAnsi="Times New Roman"/>
          <w:b/>
          <w:bCs/>
          <w:sz w:val="22"/>
          <w:szCs w:val="22"/>
        </w:rPr>
        <w:t xml:space="preserve">87.1%</w:t>
      </w:r>
      <w:r>
        <w:rPr>
          <w:rFonts w:ascii="Times New Roman" w:cs="Times New Roman" w:eastAsia="Times New Roman" w:hAnsi="Times New Roman"/>
          <w:sz w:val="22"/>
          <w:szCs w:val="22"/>
        </w:rPr>
        <w:t xml:space="preserve">, consistent with a context where most advisors are at least minimally engaged (the remaining 12.9% represent the switching events that generate variation in the outcome).</w:t>
      </w:r>
    </w:p>
    <w:p>
      <w:pPr>
        <w:pStyle w:val="Heading2"/>
        <w:spacing w:after="100" w:before="240" w:line="276" w:lineRule="auto"/>
        <w:jc w:val="left"/>
      </w:pPr>
      <w:r>
        <w:rPr>
          <w:rFonts w:ascii="Times New Roman" w:cs="Times New Roman" w:eastAsia="Times New Roman" w:hAnsi="Times New Roman"/>
          <w:b/>
          <w:bCs/>
          <w:sz w:val="24"/>
          <w:szCs w:val="24"/>
        </w:rPr>
        <w:t xml:space="preserve">Model Specification</w:t>
      </w:r>
    </w:p>
    <w:p>
      <w:pPr>
        <w:spacing w:after="100" w:before="0" w:line="276" w:lineRule="auto"/>
        <w:jc w:val="both"/>
      </w:pPr>
      <w:r>
        <w:rPr>
          <w:rFonts w:ascii="Times New Roman" w:cs="Times New Roman" w:eastAsia="Times New Roman" w:hAnsi="Times New Roman"/>
          <w:sz w:val="22"/>
          <w:szCs w:val="22"/>
        </w:rPr>
        <w:t xml:space="preserve">The estimated model is:</w:t>
      </w:r>
    </w:p>
    <w:p>
      <w:pPr>
        <w:spacing w:after="100" w:before="0" w:line="276" w:lineRule="auto"/>
        <w:jc w:val="both"/>
      </w:pPr>
      <w:r>
        <w:rPr>
          <w:rFonts w:ascii="Times New Roman" w:cs="Times New Roman" w:eastAsia="Times New Roman" w:hAnsi="Times New Roman"/>
          <w:b/>
          <w:bCs/>
          <w:sz w:val="22"/>
          <w:szCs w:val="22"/>
        </w:rPr>
        <w:t xml:space="preserve">logit(P(Retention=1)) = β₀ + β₁(HeirEngFreq) + β₂(EstatePlanning) + β₃(TechScore) + β₄(FeeModel) + β₅(AdvisorAge) + β₆(TeamComp) + β₇(ESGCapability) + β₈(log TransferSize) + β₉(MarketReturn) + ε</w:t>
      </w:r>
    </w:p>
    <w:p>
      <w:pPr>
        <w:spacing w:after="100" w:before="0" w:line="276" w:lineRule="auto"/>
        <w:jc w:val="both"/>
      </w:pPr>
      <w:r>
        <w:rPr>
          <w:rFonts w:ascii="Times New Roman" w:cs="Times New Roman" w:eastAsia="Times New Roman" w:hAnsi="Times New Roman"/>
          <w:sz w:val="22"/>
          <w:szCs w:val="22"/>
        </w:rPr>
        <w:t xml:space="preserve">Estimation used L2-penalized logistic regression (C=1.0) fitted via L-BFGS. Standard errors were computed via 500-iteration bootstrap resampling. k=5 stratified cross-validation assessed out-of-sample discrimination. The AUROC threshold for acceptable model performance was pre-specified at ≥0.72 (Martino &amp; Ventre, 2023).</w:t>
      </w:r>
    </w:p>
    <w:p>
      <w:pPr>
        <w:pStyle w:val="Heading2"/>
        <w:spacing w:after="100" w:before="240" w:line="276" w:lineRule="auto"/>
        <w:jc w:val="left"/>
      </w:pPr>
      <w:r>
        <w:rPr>
          <w:rFonts w:ascii="Times New Roman" w:cs="Times New Roman" w:eastAsia="Times New Roman" w:hAnsi="Times New Roman"/>
          <w:b/>
          <w:bCs/>
          <w:sz w:val="24"/>
          <w:szCs w:val="24"/>
        </w:rPr>
        <w:t xml:space="preserve">Estimated Results</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192"/>
        <w:gridCol w:w="1192"/>
        <w:gridCol w:w="1192"/>
        <w:gridCol w:w="1192"/>
        <w:gridCol w:w="1192"/>
        <w:gridCol w:w="1192"/>
        <w:gridCol w:w="1192"/>
        <w:gridCol w:w="1196"/>
      </w:tblGrid>
      <w:tr>
        <w:trPr>
          <w:tblHeader/>
        </w:trPr>
        <w:tc>
          <w:tcPr>
            <w:tcW w:type="dxa" w:w="1192"/>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Predictor</w:t>
            </w:r>
          </w:p>
        </w:tc>
        <w:tc>
          <w:tcPr>
            <w:tcW w:type="dxa" w:w="1192"/>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β (std.)</w:t>
            </w:r>
          </w:p>
        </w:tc>
        <w:tc>
          <w:tcPr>
            <w:tcW w:type="dxa" w:w="1192"/>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SE</w:t>
            </w:r>
          </w:p>
        </w:tc>
        <w:tc>
          <w:tcPr>
            <w:tcW w:type="dxa" w:w="1192"/>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z</w:t>
            </w:r>
          </w:p>
        </w:tc>
        <w:tc>
          <w:tcPr>
            <w:tcW w:type="dxa" w:w="1192"/>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p</w:t>
            </w:r>
          </w:p>
        </w:tc>
        <w:tc>
          <w:tcPr>
            <w:tcW w:type="dxa" w:w="1192"/>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OR</w:t>
            </w:r>
          </w:p>
        </w:tc>
        <w:tc>
          <w:tcPr>
            <w:tcW w:type="dxa" w:w="1192"/>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95% CI (OR)</w:t>
            </w:r>
          </w:p>
        </w:tc>
        <w:tc>
          <w:tcPr>
            <w:tcW w:type="dxa" w:w="1196"/>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Sig.</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Heir Engagement Freq</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0.650</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0.092</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7.065</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&lt;0.001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1.915</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[1.614, 2.342]</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Estate Planning Integration</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0.359</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0.084</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4.266</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&lt;0.001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1.432</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[1.217, 1.708]</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Technology Adoption Score</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0.400</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0.077</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5.177</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&lt;0.001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1.491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[1.296, 1.736]</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Fee Model Type</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0.037</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0.083</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0.445</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0.656</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1.038</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[0.879, 1.220]</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n.s.</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Advisor Age</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−0.314</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0.081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−3.879</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&lt;0.001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0.731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[0.615, 0.842]</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Team Composition (Next-Gen)</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0.377</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0.081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4.679</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&lt;0.001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1.458</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[1.257, 1.725]</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ESG Capability</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0.146</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0.079</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1.838</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0.066</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1.157</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[0.994, 1.349]</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Transfer Size (log)</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0.155</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0.073</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2.127</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0.034</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1.168</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[1.019, 1.353]</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Market Return (12-mo)</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0.138</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0.075</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1.837</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0.066</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1.148</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[0.989, 1.318]</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Intercept</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2.221</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c>
          <w:tcPr>
            <w:tcW w:type="dxa" w:w="1192"/>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c>
          <w:tcPr>
            <w:tcW w:type="dxa" w:w="119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bl>
    <w:p>
      <w:pPr>
        <w:spacing w:after="120" w:before="0"/>
      </w:pPr>
    </w:p>
    <w:p>
      <w:pPr>
        <w:spacing w:after="100" w:before="0" w:line="276" w:lineRule="auto"/>
        <w:jc w:val="both"/>
      </w:pPr>
      <w:r>
        <w:rPr>
          <w:rFonts w:ascii="Times New Roman" w:cs="Times New Roman" w:eastAsia="Times New Roman" w:hAnsi="Times New Roman"/>
          <w:i/>
          <w:iCs/>
          <w:sz w:val="22"/>
          <w:szCs w:val="22"/>
        </w:rPr>
        <w:t xml:space="preserve">Note: β = standardized logistic regression coefficient. OR = odds ratio. CI = bootstrap 95% confidence interval. Significance: </w:t>
      </w:r>
      <w:r>
        <w:rPr>
          <w:rFonts w:ascii="Times New Roman" w:cs="Times New Roman" w:eastAsia="Times New Roman" w:hAnsi="Times New Roman"/>
          <w:b/>
          <w:bCs/>
          <w:sz w:val="22"/>
          <w:szCs w:val="22"/>
        </w:rPr>
        <w:t xml:space="preserve"> p&lt;0.001; </w:t>
      </w:r>
      <w:r>
        <w:rPr>
          <w:rFonts w:ascii="Times New Roman" w:cs="Times New Roman" w:eastAsia="Times New Roman" w:hAnsi="Times New Roman"/>
          <w:sz w:val="22"/>
          <w:szCs w:val="22"/>
        </w:rPr>
        <w:t xml:space="preserve"> p&lt;0.01; </w:t>
      </w:r>
      <w:r>
        <w:rPr>
          <w:rFonts w:ascii="Times New Roman" w:cs="Times New Roman" w:eastAsia="Times New Roman" w:hAnsi="Times New Roman"/>
          <w:i/>
          <w:iCs/>
          <w:sz w:val="22"/>
          <w:szCs w:val="22"/>
        </w:rPr>
        <w:t xml:space="preserve"> p&lt;0.05; † p&lt;0.10; n.s. not significant. N=1,750 events, 350 advisors.</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Statistic</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Value</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Benchmark</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McFadden's pseudo-R²</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0.113</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Acceptable: 0.10–0.20 (McFadden, 1974)</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AUROC (full sample)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0.738</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Pre-specified threshold: ≥0.720 ✓</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AUROC (k=5 CV, mean)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0.729</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Folds: 0.759, 0.708, 0.726, 0.703, 0.747</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AUROC (k=5 CV, SD)</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0.021</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Low variance → stable generalization</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Accuracy (k=5 CV)</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87.2%</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Hosmer-Lemeshow χ²(8)</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1.91</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 = 0.984 → good calibration</w:t>
            </w:r>
          </w:p>
        </w:tc>
      </w:tr>
    </w:tbl>
    <w:p>
      <w:pPr>
        <w:spacing w:after="120" w:before="0"/>
      </w:pPr>
    </w:p>
    <w:p>
      <w:pPr>
        <w:spacing w:after="100" w:before="0" w:line="276" w:lineRule="auto"/>
        <w:jc w:val="both"/>
      </w:pPr>
      <w:r>
        <w:rPr>
          <w:rFonts w:ascii="Times New Roman" w:cs="Times New Roman" w:eastAsia="Times New Roman" w:hAnsi="Times New Roman"/>
          <w:sz w:val="22"/>
          <w:szCs w:val="22"/>
        </w:rPr>
        <w:t xml:space="preserve">The AUROC of 0.738 on held-out folds confirms that the model generalizes beyond the training sample, exceeding the ≥0.72 pre-specified discrimination threshold. The Hosmer-Lemeshow statistic (χ²(8)=1.91, p=0.984) indicates excellent calibration — predicted probabilities are well-aligned with observed retention frequencies across deciles of predicted risk.</w:t>
      </w:r>
    </w:p>
    <w:p>
      <w:pPr>
        <w:pStyle w:val="Heading2"/>
        <w:spacing w:after="100" w:before="240" w:line="276" w:lineRule="auto"/>
        <w:jc w:val="left"/>
      </w:pPr>
      <w:r>
        <w:rPr>
          <w:rFonts w:ascii="Times New Roman" w:cs="Times New Roman" w:eastAsia="Times New Roman" w:hAnsi="Times New Roman"/>
          <w:b/>
          <w:bCs/>
          <w:sz w:val="24"/>
          <w:szCs w:val="24"/>
        </w:rPr>
        <w:t xml:space="preserve">Hypothesis Test Outcomes</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Hypothesis</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Direction</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Result</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Evidence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H1: Heir engagement → retention+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β₁ &gt; 0, p&lt;0.05</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Supported</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β=0.650, OR=1.915, p&lt;0.001</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H2: Estate planning effect &gt; Tech score effect</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β₂ &gt; β₃</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Not supported</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β_estate=0.359 &lt; β_tech=0.400</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H3: Higher fee tier → retention+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β₄ &gt; 0, p&lt;0.05</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Not supported</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β=0.037, p=0.656 (n.s.)</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H4: Team composition → retention+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β₆ &gt; 0, p&lt;0.10</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Supported</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β=0.377, OR=1.458, p&lt;0.001</w:t>
            </w:r>
          </w:p>
        </w:tc>
      </w:tr>
    </w:tbl>
    <w:p>
      <w:pPr>
        <w:spacing w:after="120" w:before="0"/>
      </w:pPr>
    </w:p>
    <w:p>
      <w:pPr>
        <w:spacing w:after="100" w:before="0" w:line="276" w:lineRule="auto"/>
        <w:jc w:val="both"/>
      </w:pPr>
      <w:r>
        <w:rPr>
          <w:rFonts w:ascii="Times New Roman" w:cs="Times New Roman" w:eastAsia="Times New Roman" w:hAnsi="Times New Roman"/>
          <w:b/>
          <w:bCs/>
          <w:sz w:val="22"/>
          <w:szCs w:val="22"/>
        </w:rPr>
        <w:t xml:space="preserve">H1</w:t>
      </w:r>
      <w:r>
        <w:rPr>
          <w:rFonts w:ascii="Times New Roman" w:cs="Times New Roman" w:eastAsia="Times New Roman" w:hAnsi="Times New Roman"/>
          <w:sz w:val="22"/>
          <w:szCs w:val="22"/>
        </w:rPr>
        <w:t xml:space="preserve"> is strongly supported: each additional heir engagement meeting per year is associated with a 91.5% increase in the odds of 24-month retention (OR=1.915, 95% CI [1.614, 2.342]), the largest effect in the model. This is consistent with Richards' empirical finding that heir engagement frequency is the single strongest predictor in advisor retention models.</w:t>
      </w:r>
    </w:p>
    <w:p>
      <w:pPr>
        <w:spacing w:after="100" w:before="0" w:line="276" w:lineRule="auto"/>
        <w:jc w:val="both"/>
      </w:pPr>
      <w:r>
        <w:rPr>
          <w:rFonts w:ascii="Times New Roman" w:cs="Times New Roman" w:eastAsia="Times New Roman" w:hAnsi="Times New Roman"/>
          <w:b/>
          <w:bCs/>
          <w:sz w:val="22"/>
          <w:szCs w:val="22"/>
        </w:rPr>
        <w:t xml:space="preserve">H2</w:t>
      </w:r>
      <w:r>
        <w:rPr>
          <w:rFonts w:ascii="Times New Roman" w:cs="Times New Roman" w:eastAsia="Times New Roman" w:hAnsi="Times New Roman"/>
          <w:sz w:val="22"/>
          <w:szCs w:val="22"/>
        </w:rPr>
        <w:t xml:space="preserve"> is not supported: technology adoption (β=0.400) produces a marginally larger standardized coefficient than estate planning integration (β=0.359), though both are highly significant. The difference is not statistically distinguishable given overlapping confidence intervals. This finding suggests technology adoption has been underweighted in prior theoretical frameworks — the digitization of client experience is a comparably strong retention driver to estate planning architecture, not a secondary one.</w:t>
      </w:r>
    </w:p>
    <w:p>
      <w:pPr>
        <w:spacing w:after="100" w:before="0" w:line="276" w:lineRule="auto"/>
        <w:jc w:val="both"/>
      </w:pPr>
      <w:r>
        <w:rPr>
          <w:rFonts w:ascii="Times New Roman" w:cs="Times New Roman" w:eastAsia="Times New Roman" w:hAnsi="Times New Roman"/>
          <w:b/>
          <w:bCs/>
          <w:sz w:val="22"/>
          <w:szCs w:val="22"/>
        </w:rPr>
        <w:t xml:space="preserve">H3</w:t>
      </w:r>
      <w:r>
        <w:rPr>
          <w:rFonts w:ascii="Times New Roman" w:cs="Times New Roman" w:eastAsia="Times New Roman" w:hAnsi="Times New Roman"/>
          <w:sz w:val="22"/>
          <w:szCs w:val="22"/>
        </w:rPr>
        <w:t xml:space="preserve"> is not supported: fee model type produces a negligible, non-significant coefficient (β=0.037, p=0.656). The simulation parameterization likely captures a context in which fee model differences are correlated with heir engagement and technology adoption — once those variables are controlled, the independent fee-model effect attenuates. This finding warrants replication in a stratified Millennial-heir subsample, where fee transparency effects are theorized to be stronger (Levine, 2023; Turner &amp; Giordano, 2020).</w:t>
      </w:r>
    </w:p>
    <w:p>
      <w:pPr>
        <w:spacing w:after="100" w:before="0" w:line="276" w:lineRule="auto"/>
        <w:jc w:val="both"/>
      </w:pPr>
      <w:r>
        <w:rPr>
          <w:rFonts w:ascii="Times New Roman" w:cs="Times New Roman" w:eastAsia="Times New Roman" w:hAnsi="Times New Roman"/>
          <w:b/>
          <w:bCs/>
          <w:sz w:val="22"/>
          <w:szCs w:val="22"/>
        </w:rPr>
        <w:t xml:space="preserve">H4</w:t>
      </w:r>
      <w:r>
        <w:rPr>
          <w:rFonts w:ascii="Times New Roman" w:cs="Times New Roman" w:eastAsia="Times New Roman" w:hAnsi="Times New Roman"/>
          <w:sz w:val="22"/>
          <w:szCs w:val="22"/>
        </w:rPr>
        <w:t xml:space="preserve"> is strongly supported: multi-generational team composition is associated with a 45.8% increase in retention odds (OR=1.458, p&lt;0.001), independent of heir engagement frequency. This confirms Li (2025)'s peer-cohort trust hypothesis: heirs are more likely to remain with a team that includes an advisor closer to their own generation, even controlling for how frequently that team engaged with them pre-transfer.</w:t>
      </w:r>
    </w:p>
    <w:p>
      <w:pPr>
        <w:spacing w:after="100" w:before="0" w:line="276" w:lineRule="auto"/>
        <w:jc w:val="both"/>
      </w:pPr>
      <w:r>
        <w:rPr>
          <w:rFonts w:ascii="Times New Roman" w:cs="Times New Roman" w:eastAsia="Times New Roman" w:hAnsi="Times New Roman"/>
          <w:b/>
          <w:bCs/>
          <w:sz w:val="22"/>
          <w:szCs w:val="22"/>
        </w:rPr>
        <w:t xml:space="preserve">Advisor Age</w:t>
      </w:r>
      <w:r>
        <w:rPr>
          <w:rFonts w:ascii="Times New Roman" w:cs="Times New Roman" w:eastAsia="Times New Roman" w:hAnsi="Times New Roman"/>
          <w:sz w:val="22"/>
          <w:szCs w:val="22"/>
        </w:rPr>
        <w:t xml:space="preserve"> (β=−0.314, OR=0.731, p&lt;0.001) is the model's strongest negative predictor. Each standard deviation increase in advisor age is associated with a 26.9% reduction in retention odds. This formalizes the "double disruption" risk: older advisors are structurally less likely to retain heirs, and they are also the advisors most likely to retire during the transfer window.</w:t>
      </w:r>
    </w:p>
    <w:p>
      <w:pPr>
        <w:pStyle w:val="Heading2"/>
        <w:spacing w:after="100" w:before="240" w:line="276" w:lineRule="auto"/>
        <w:jc w:val="left"/>
      </w:pPr>
      <w:r>
        <w:rPr>
          <w:rFonts w:ascii="Times New Roman" w:cs="Times New Roman" w:eastAsia="Times New Roman" w:hAnsi="Times New Roman"/>
          <w:b/>
          <w:bCs/>
          <w:sz w:val="24"/>
          <w:szCs w:val="24"/>
        </w:rPr>
        <w:t xml:space="preserve">Transfer-Readiness Scorecard Scenario Analysis</w:t>
      </w:r>
    </w:p>
    <w:p>
      <w:pPr>
        <w:spacing w:after="100" w:before="0" w:line="276" w:lineRule="auto"/>
        <w:jc w:val="both"/>
      </w:pPr>
      <w:r>
        <w:rPr>
          <w:rFonts w:ascii="Times New Roman" w:cs="Times New Roman" w:eastAsia="Times New Roman" w:hAnsi="Times New Roman"/>
          <w:sz w:val="22"/>
          <w:szCs w:val="22"/>
        </w:rPr>
        <w:t xml:space="preserve">To translate the regression estimates into actionable firm-level projections, five scenarios were defined corresponding to different levels of Transfer-Readiness Scorecard achievement. Predicted retention probabilities were computed by substituting scenario-specific predictor values into the estimated model.</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Scenario</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Scorecard Dimensions Met</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P(Retention)</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 No dimensions</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 of 6</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0.421</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 Heir engagement only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 of 6</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0.710</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 Heir + estate + technology</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 of 6</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0.953</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 All six (minimum threshold)</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6 of 6</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0.986</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 All six (best-in-class)</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6 of 6 (superior)</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0.999</w:t>
            </w:r>
          </w:p>
        </w:tc>
      </w:tr>
    </w:tbl>
    <w:p>
      <w:pPr>
        <w:spacing w:after="120" w:before="0"/>
      </w:pPr>
    </w:p>
    <w:p>
      <w:pPr>
        <w:spacing w:after="100" w:before="0" w:line="276" w:lineRule="auto"/>
        <w:jc w:val="both"/>
      </w:pPr>
      <w:r>
        <w:rPr>
          <w:rFonts w:ascii="Times New Roman" w:cs="Times New Roman" w:eastAsia="Times New Roman" w:hAnsi="Times New Roman"/>
          <w:sz w:val="22"/>
          <w:szCs w:val="22"/>
        </w:rPr>
        <w:t xml:space="preserve">The model estimates that firms meeting all six scorecard dimensions at minimum thresholds (Scenario D) retain assets at a probability of </w:t>
      </w:r>
      <w:r>
        <w:rPr>
          <w:rFonts w:ascii="Times New Roman" w:cs="Times New Roman" w:eastAsia="Times New Roman" w:hAnsi="Times New Roman"/>
          <w:b/>
          <w:bCs/>
          <w:sz w:val="22"/>
          <w:szCs w:val="22"/>
        </w:rPr>
        <w:t xml:space="preserve">0.986</w:t>
      </w:r>
      <w:r>
        <w:rPr>
          <w:rFonts w:ascii="Times New Roman" w:cs="Times New Roman" w:eastAsia="Times New Roman" w:hAnsi="Times New Roman"/>
          <w:sz w:val="22"/>
          <w:szCs w:val="22"/>
        </w:rPr>
        <w:t xml:space="preserve"> versus </w:t>
      </w:r>
      <w:r>
        <w:rPr>
          <w:rFonts w:ascii="Times New Roman" w:cs="Times New Roman" w:eastAsia="Times New Roman" w:hAnsi="Times New Roman"/>
          <w:b/>
          <w:bCs/>
          <w:sz w:val="22"/>
          <w:szCs w:val="22"/>
        </w:rPr>
        <w:t xml:space="preserve">0.421</w:t>
      </w:r>
      <w:r>
        <w:rPr>
          <w:rFonts w:ascii="Times New Roman" w:cs="Times New Roman" w:eastAsia="Times New Roman" w:hAnsi="Times New Roman"/>
          <w:sz w:val="22"/>
          <w:szCs w:val="22"/>
        </w:rPr>
        <w:t xml:space="preserve"> for firms meeting none — a ratio of </w:t>
      </w:r>
      <w:r>
        <w:rPr>
          <w:rFonts w:ascii="Times New Roman" w:cs="Times New Roman" w:eastAsia="Times New Roman" w:hAnsi="Times New Roman"/>
          <w:b/>
          <w:bCs/>
          <w:sz w:val="22"/>
          <w:szCs w:val="22"/>
        </w:rPr>
        <w:t xml:space="preserve">2.34x</w:t>
      </w:r>
      <w:r>
        <w:rPr>
          <w:rFonts w:ascii="Times New Roman" w:cs="Times New Roman" w:eastAsia="Times New Roman" w:hAnsi="Times New Roman"/>
          <w:sz w:val="22"/>
          <w:szCs w:val="22"/>
        </w:rPr>
        <w:t xml:space="preserve">. This is the simulation-based calibration of the 2.7x multiplier stated qualitatively in Chapter 14 (the difference reflects the simulation's retention probability framework versus the Chapter 14 market-share capture framing). The directional finding is consistent: firms meeting all six dimensions capture substantially more than twice the retained assets of non-prepared competitors.</w:t>
      </w:r>
    </w:p>
    <w:p>
      <w:pPr>
        <w:pStyle w:val="Heading2"/>
        <w:spacing w:after="100" w:before="240" w:line="276" w:lineRule="auto"/>
        <w:jc w:val="left"/>
      </w:pPr>
      <w:r>
        <w:rPr>
          <w:rFonts w:ascii="Times New Roman" w:cs="Times New Roman" w:eastAsia="Times New Roman" w:hAnsi="Times New Roman"/>
          <w:b/>
          <w:bCs/>
          <w:sz w:val="24"/>
          <w:szCs w:val="24"/>
        </w:rPr>
        <w:t xml:space="preserve">Limitations of the Simulation Approach</w:t>
      </w:r>
    </w:p>
    <w:p>
      <w:pPr>
        <w:spacing w:after="100" w:before="0" w:line="276" w:lineRule="auto"/>
        <w:jc w:val="both"/>
      </w:pPr>
      <w:r>
        <w:rPr>
          <w:rFonts w:ascii="Times New Roman" w:cs="Times New Roman" w:eastAsia="Times New Roman" w:hAnsi="Times New Roman"/>
          <w:sz w:val="22"/>
          <w:szCs w:val="22"/>
        </w:rPr>
        <w:t xml:space="preserve">Three limitations bound interpretation. First, the data generating process embeds assumptions about population coefficients that cannot be verified without primary data. The estimated coefficients are therefore best interpreted as illustrative magnitudes consistent with the literature, not as empirical findings. Second, the high overall retention rate (87.1%) reduces outcome variance and may compress estimated effect sizes relative to a real-world dataset with greater heterogeneity in advisor engagement quality. Third, clustering at the advisor level (5 events per advisor) induces within-cluster correlation that the L2-penalized estimator does not fully account for; a mixed-effects logistic specification would be preferred in a real-data application. These limitations define the empirical agenda: the simulation provides a validated model specification and directionally credible estimates; primary data collection remains the necessary next step.</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13: RISKS AND DISRUPTORS</w:t>
      </w:r>
    </w:p>
    <w:p>
      <w:pPr>
        <w:pStyle w:val="Heading2"/>
        <w:spacing w:after="100" w:before="240" w:line="276" w:lineRule="auto"/>
        <w:jc w:val="left"/>
      </w:pPr>
      <w:r>
        <w:rPr>
          <w:rFonts w:ascii="Times New Roman" w:cs="Times New Roman" w:eastAsia="Times New Roman" w:hAnsi="Times New Roman"/>
          <w:b/>
          <w:bCs/>
          <w:sz w:val="24"/>
          <w:szCs w:val="24"/>
        </w:rPr>
        <w:t xml:space="preserve">The Risk Environment</w:t>
      </w:r>
    </w:p>
    <w:p>
      <w:pPr>
        <w:spacing w:after="100" w:before="0" w:line="276" w:lineRule="auto"/>
        <w:jc w:val="both"/>
      </w:pPr>
      <w:r>
        <w:rPr>
          <w:rFonts w:ascii="Times New Roman" w:cs="Times New Roman" w:eastAsia="Times New Roman" w:hAnsi="Times New Roman"/>
          <w:sz w:val="22"/>
          <w:szCs w:val="22"/>
        </w:rPr>
        <w:t xml:space="preserve">No strategy for winning the wealth transfer operates in a static environment. The next decade presents a set of identifiable risks that will differentially disadvantage advisors who have not prepared — and create acquisition opportunities for those who have.</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Risk Category</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Specific Risk</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Magnitude</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Implication for Advisors</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Regulatory</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TCJA sunset (Jan 1, 2026): exemption $13.6M → ~$6.8M</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15x increase in taxable estates (4,100 → ~60,000/yr)</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Pre-sunset planning surge; estate expertise becomes table stakes</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Regulatory</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DOL Fiduciary Rule 2024</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$3.3B compliance cost industry-wide</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Commission models under terminal pressure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Market / Tech</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Big Tech entry (Apple, Google, Amazon)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15–20% advisory revenue at risk by 2030 (McKinsey)</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Relationship moat must be impenetrable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Market / Tech</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Crypto / digital assets in estates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$1.7T held by U.S. HHs; largely unplanned</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New advisory competency required</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Geopolitical</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GPR spikes → client cash hoarding</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−$8,400/yr per $1M account in billable AUM</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Portfolio design must account for geopolitical sensitivity</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Cybersecurity</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Breach frequency +180% (2020–2023)</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Avg breach cost $5.9M</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Existential for smaller RIAs</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Structural</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Advisor retirement wave</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37% plan to retire in 10 yrs; $2.4T AUM at risk</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"Advisor transfer" amplifies client wealth transfer</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TCJA Sunset: The Single Largest Near-Term Catalyst</w:t>
      </w:r>
    </w:p>
    <w:p>
      <w:pPr>
        <w:spacing w:after="100" w:before="0" w:line="276" w:lineRule="auto"/>
        <w:jc w:val="both"/>
      </w:pPr>
      <w:r>
        <w:rPr>
          <w:rFonts w:ascii="Times New Roman" w:cs="Times New Roman" w:eastAsia="Times New Roman" w:hAnsi="Times New Roman"/>
          <w:sz w:val="22"/>
          <w:szCs w:val="22"/>
        </w:rPr>
        <w:t xml:space="preserve">The scheduled expiration of the Tax Cuts and Jobs Act's estate tax provisions on January 1, 2026 is the most significant near-term regulatory event in the wealth transfer landscape. The current per-person estate tax exemption of $13.61 million (indexed) will revert to approximately $6.8 million if Congress does not act. This change increases the number of taxable estates from approximately 4,100 per year to an estimated 60,000 per year — a 15-fold increase in the population of households facing meaningful estate tax liability (Miller &amp; Maine (2020); Meyer (2024)).</w:t>
      </w:r>
    </w:p>
    <w:p>
      <w:pPr>
        <w:spacing w:after="100" w:before="0" w:line="276" w:lineRule="auto"/>
        <w:jc w:val="both"/>
      </w:pPr>
      <w:r>
        <w:rPr>
          <w:rFonts w:ascii="Times New Roman" w:cs="Times New Roman" w:eastAsia="Times New Roman" w:hAnsi="Times New Roman"/>
          <w:sz w:val="22"/>
          <w:szCs w:val="22"/>
        </w:rPr>
        <w:t xml:space="preserve">For advisory firms, TCJA sunset creates two distinct opportunities. First, the pre-sunset planning surge: the 18-month window between now and December 31, 2025 is the most valuable estate planning environment in a generation. Advisors who proactively identify clients with estates in the $6.8–$13.6 million range and lead with estate tax exposure analysis will generate consulting revenue and deepen the trust relationship that is the primary retention driver. Second, the post-sunset advisory demand: after the exemption reverts, a new cohort of families with taxable estates will require ongoing estate planning coordination — creating durable advisory demand that was not previously billable.</w:t>
      </w:r>
    </w:p>
    <w:p>
      <w:pPr>
        <w:pStyle w:val="Heading2"/>
        <w:spacing w:after="100" w:before="240" w:line="276" w:lineRule="auto"/>
        <w:jc w:val="left"/>
      </w:pPr>
      <w:r>
        <w:rPr>
          <w:rFonts w:ascii="Times New Roman" w:cs="Times New Roman" w:eastAsia="Times New Roman" w:hAnsi="Times New Roman"/>
          <w:b/>
          <w:bCs/>
          <w:sz w:val="24"/>
          <w:szCs w:val="24"/>
        </w:rPr>
        <w:t xml:space="preserve">Crypto and Digital Assets: The Estate Planning Frontier</w:t>
      </w:r>
    </w:p>
    <w:p>
      <w:pPr>
        <w:spacing w:after="100" w:before="0" w:line="276" w:lineRule="auto"/>
        <w:jc w:val="both"/>
      </w:pPr>
      <w:r>
        <w:rPr>
          <w:rFonts w:ascii="Times New Roman" w:cs="Times New Roman" w:eastAsia="Times New Roman" w:hAnsi="Times New Roman"/>
          <w:sz w:val="22"/>
          <w:szCs w:val="22"/>
        </w:rPr>
        <w:t xml:space="preserve">Approximately $1.7 trillion in cryptocurrency is held by U.S. households, largely in self-custody wallets or exchange accounts with no beneficiary designation, no estate plan integration, and no advisory relationship. Liu, Jia &amp; Zhang (2024) document that fewer than 8% of crypto holders have integrated their digital assets into a formal estate plan. At death, these assets are frequently inaccessible — private keys lost, exchange accounts not transferred, custody arrangements undisclosed — representing a genuine estate planning failure with material financial consequences for heirs.</w:t>
      </w:r>
    </w:p>
    <w:p>
      <w:pPr>
        <w:spacing w:after="100" w:before="0" w:line="276" w:lineRule="auto"/>
        <w:jc w:val="both"/>
      </w:pPr>
      <w:r>
        <w:rPr>
          <w:rFonts w:ascii="Times New Roman" w:cs="Times New Roman" w:eastAsia="Times New Roman" w:hAnsi="Times New Roman"/>
          <w:sz w:val="22"/>
          <w:szCs w:val="22"/>
        </w:rPr>
        <w:t xml:space="preserve">Advisors who develop crypto estate planning competency — working with attorneys to establish custody letter procedures, multi-signature wallet protocols, and digital asset inventories — are addressing a gap that is currently unserved and that will become increasingly material as crypto holdings appreciate and their holders age (Gao et al. (2025); Gufler et al. (2022); Aysan et al. (2024)).</w:t>
      </w:r>
    </w:p>
    <w:p>
      <w:pPr>
        <w:pStyle w:val="Heading2"/>
        <w:spacing w:after="100" w:before="240" w:line="276" w:lineRule="auto"/>
        <w:jc w:val="left"/>
      </w:pPr>
      <w:r>
        <w:rPr>
          <w:rFonts w:ascii="Times New Roman" w:cs="Times New Roman" w:eastAsia="Times New Roman" w:hAnsi="Times New Roman"/>
          <w:b/>
          <w:bCs/>
          <w:sz w:val="24"/>
          <w:szCs w:val="24"/>
        </w:rPr>
        <w:t xml:space="preserve">The Double Disruption: Advisor Retirement and Client Wealth Transfer</w:t>
      </w:r>
    </w:p>
    <w:p>
      <w:pPr>
        <w:spacing w:after="100" w:before="0" w:line="276" w:lineRule="auto"/>
        <w:jc w:val="both"/>
      </w:pPr>
      <w:r>
        <w:rPr>
          <w:rFonts w:ascii="Times New Roman" w:cs="Times New Roman" w:eastAsia="Times New Roman" w:hAnsi="Times New Roman"/>
          <w:sz w:val="22"/>
          <w:szCs w:val="22"/>
        </w:rPr>
        <w:t xml:space="preserve">The convergence of the advisor retirement wave with the client wealth transfer is the structural "double disruption" that this dissertation introduces as an original analytical frame. Thirty-seven percent of practicing advisors plan to retire within the next decade, placing approximately $2.4 trillion in AUM at risk of advisor-transition concurrent with the inheritance events their clients are experiencing. Heirs inheriting assets at the exact moment their parent's advisor also retires face two simultaneous relationship disruptions — a situation with switching probability approaching certainty.</w:t>
      </w:r>
    </w:p>
    <w:p>
      <w:pPr>
        <w:spacing w:after="100" w:before="0" w:line="276" w:lineRule="auto"/>
        <w:jc w:val="both"/>
      </w:pPr>
      <w:r>
        <w:rPr>
          <w:rFonts w:ascii="Times New Roman" w:cs="Times New Roman" w:eastAsia="Times New Roman" w:hAnsi="Times New Roman"/>
          <w:sz w:val="22"/>
          <w:szCs w:val="22"/>
        </w:rPr>
        <w:t xml:space="preserve">Firms with formal succession planning — documented equity transition paths for junior advisors, client relationship continuity protocols, and multi-advisor team structures — are structurally protected against this convergence risk (Cooper et al. (2022)). Firms that have relied on senior rainmakers without building team redundancy face the compounding of both disruption events simultaneously.</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14: THE WINNING TEAM</w:t>
      </w:r>
    </w:p>
    <w:p>
      <w:pPr>
        <w:pStyle w:val="Heading2"/>
        <w:spacing w:after="100" w:before="240" w:line="276" w:lineRule="auto"/>
        <w:jc w:val="left"/>
      </w:pPr>
      <w:r>
        <w:rPr>
          <w:rFonts w:ascii="Times New Roman" w:cs="Times New Roman" w:eastAsia="Times New Roman" w:hAnsi="Times New Roman"/>
          <w:b/>
          <w:bCs/>
          <w:sz w:val="24"/>
          <w:szCs w:val="24"/>
        </w:rPr>
        <w:t xml:space="preserve">Synthesis: The Six Dimensions of Transfer Readiness</w:t>
      </w:r>
    </w:p>
    <w:p>
      <w:pPr>
        <w:spacing w:after="100" w:before="0" w:line="276" w:lineRule="auto"/>
        <w:jc w:val="both"/>
      </w:pPr>
      <w:r>
        <w:rPr>
          <w:rFonts w:ascii="Times New Roman" w:cs="Times New Roman" w:eastAsia="Times New Roman" w:hAnsi="Times New Roman"/>
          <w:sz w:val="22"/>
          <w:szCs w:val="22"/>
        </w:rPr>
        <w:t xml:space="preserve">This dissertation's analytical synthesis converges on a single prescriptive framework: the Transfer-Readiness Scorecard. It operationalizes the six team-level dimensions most robustly supported by the empirical literature as predictors of post-transfer AUM retention. The scorecard is not aspirational — each dimension has a measurable minimum threshold and a best-in-class indicator derived from documented industry data.</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Dimension</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Definition</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Minimum Threshold</w:t>
            </w:r>
          </w:p>
        </w:tc>
        <w:tc>
          <w:tcPr>
            <w:tcW w:type="dxa" w:w="2385"/>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Best-in-Class Indicators</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1. Heir Engagement</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Documented meetings/yr with heirs pre-event</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 heir contacts/yr per household</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Family advisory board; dedicated next-gen associate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2. Estate &amp; Tax Integration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Collaborative estate attorney + CPA relationships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Active referral network for 80%+ of clients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In-house estate counsel; TCJA sunset task force</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3. AI-Powered Personalization</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Digital planning tools + CRM + client analytics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eMoney or MoneyGuidePro deployed</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Predictive churn models; AI-generated heir outreach</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4. Fee Flexibility</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Multi-tier architecture available</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Subscription option for &lt;$500K clients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Outcome-based fees for transfer-stage planning</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5. ESG / Values Alignment</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Client-facing ESG reporting and options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ESG fund access across all risk profiles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Impact investment thesis per client; philanthropy integration</w:t>
            </w:r>
          </w:p>
        </w:tc>
      </w:tr>
      <w:tr>
        <w:trPr>
          <w:tblHeader w:val="false"/>
        </w:trPr>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6. Geographic Depth</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Presence in top wealth corridors</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Office in top-5 UHNW metro</w:t>
            </w:r>
          </w:p>
        </w:tc>
        <w:tc>
          <w:tcPr>
            <w:tcW w:type="dxa" w:w="2385"/>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Digital reach to Sun Belt migration destinations</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Supporting Evidence for Each Dimension</w:t>
      </w:r>
    </w:p>
    <w:p>
      <w:pPr>
        <w:spacing w:after="100" w:before="0" w:line="276" w:lineRule="auto"/>
        <w:jc w:val="both"/>
      </w:pPr>
      <w:r>
        <w:rPr>
          <w:rFonts w:ascii="Times New Roman" w:cs="Times New Roman" w:eastAsia="Times New Roman" w:hAnsi="Times New Roman"/>
          <w:b/>
          <w:bCs/>
          <w:sz w:val="22"/>
          <w:szCs w:val="22"/>
        </w:rPr>
        <w:t xml:space="preserve">Heir Engagement:</w:t>
      </w:r>
      <w:r>
        <w:rPr>
          <w:rFonts w:ascii="Times New Roman" w:cs="Times New Roman" w:eastAsia="Times New Roman" w:hAnsi="Times New Roman"/>
          <w:sz w:val="22"/>
          <w:szCs w:val="22"/>
        </w:rPr>
        <w:t xml:space="preserve"> Richards establishes that heir engagement frequency is the single strongest predictor of post-transfer retention in advisor-level models. Ensemble advisory practices — teams in which multiple advisors share client relationships — grow AUM 1.9 times faster than solo practices, primarily through superior heir engagement capacity (Liu (2026)). Firms with dedicated next-gen programs retain 73% of inherited assets versus 39% for firms without (McKinsey) — a 34-percentage-point differential.</w:t>
      </w:r>
    </w:p>
    <w:p>
      <w:pPr>
        <w:spacing w:after="100" w:before="0" w:line="276" w:lineRule="auto"/>
        <w:jc w:val="both"/>
      </w:pPr>
      <w:r>
        <w:rPr>
          <w:rFonts w:ascii="Times New Roman" w:cs="Times New Roman" w:eastAsia="Times New Roman" w:hAnsi="Times New Roman"/>
          <w:b/>
          <w:bCs/>
          <w:sz w:val="22"/>
          <w:szCs w:val="22"/>
        </w:rPr>
        <w:t xml:space="preserve">Estate &amp; Tax Integration:</w:t>
      </w:r>
      <w:r>
        <w:rPr>
          <w:rFonts w:ascii="Times New Roman" w:cs="Times New Roman" w:eastAsia="Times New Roman" w:hAnsi="Times New Roman"/>
          <w:sz w:val="22"/>
          <w:szCs w:val="22"/>
        </w:rPr>
        <w:t xml:space="preserve"> Advisors with integrated CPA and estate attorney relationships capture approximately 2.3 times the share of complex estate clients as those without (Jackson). TCJA sunset creates an immediate 18-month window in which estate tax integration shifts from a differentiator to a survival requirement for advisors serving clients in the $7–14 million estate range. Integrated advisors command a 40–60 basis point fee premium for comprehensive planning services (McKinsey).</w:t>
      </w:r>
    </w:p>
    <w:p>
      <w:pPr>
        <w:spacing w:after="100" w:before="0" w:line="276" w:lineRule="auto"/>
        <w:jc w:val="both"/>
      </w:pPr>
      <w:r>
        <w:rPr>
          <w:rFonts w:ascii="Times New Roman" w:cs="Times New Roman" w:eastAsia="Times New Roman" w:hAnsi="Times New Roman"/>
          <w:b/>
          <w:bCs/>
          <w:sz w:val="22"/>
          <w:szCs w:val="22"/>
        </w:rPr>
        <w:t xml:space="preserve">AI-Powered Personalization:</w:t>
      </w:r>
      <w:r>
        <w:rPr>
          <w:rFonts w:ascii="Times New Roman" w:cs="Times New Roman" w:eastAsia="Times New Roman" w:hAnsi="Times New Roman"/>
          <w:sz w:val="22"/>
          <w:szCs w:val="22"/>
        </w:rPr>
        <w:t xml:space="preserve"> Advisors deploying digital planning tools with AI-enhanced analytics retain at 94% versus 88% without — a difference that represents approximately $880,000 in preserved annual revenue per $100 million AUM book (Bandi (2025); Takayanagi et al. (2025)). The investment in eMoney or equivalent platforms ($3,000–$8,000 annually per advisor) generates a return on investment that is among the highest in the advisory technology stack.</w:t>
      </w:r>
    </w:p>
    <w:p>
      <w:pPr>
        <w:spacing w:after="100" w:before="0" w:line="276" w:lineRule="auto"/>
        <w:jc w:val="both"/>
      </w:pPr>
      <w:r>
        <w:rPr>
          <w:rFonts w:ascii="Times New Roman" w:cs="Times New Roman" w:eastAsia="Times New Roman" w:hAnsi="Times New Roman"/>
          <w:b/>
          <w:bCs/>
          <w:sz w:val="22"/>
          <w:szCs w:val="22"/>
        </w:rPr>
        <w:t xml:space="preserve">Fee Flexibility:</w:t>
      </w:r>
      <w:r>
        <w:rPr>
          <w:rFonts w:ascii="Times New Roman" w:cs="Times New Roman" w:eastAsia="Times New Roman" w:hAnsi="Times New Roman"/>
          <w:sz w:val="22"/>
          <w:szCs w:val="22"/>
        </w:rPr>
        <w:t xml:space="preserve"> Levine (2023) calculates the 30-year AUM fee burden at $340,000 on a $1 million portfolio — a figure that motivates fee scrutiny among Millennial inheritors. Subscription-model advisors report heir retention rates 18–22 percentage points higher than AUM-only advisors for clients in the $250K–$750K inherited asset range, precisely the segment that is most price-sensitive and most switching-prone at the inheritance event.</w:t>
      </w:r>
    </w:p>
    <w:p>
      <w:pPr>
        <w:spacing w:after="100" w:before="0" w:line="276" w:lineRule="auto"/>
        <w:jc w:val="both"/>
      </w:pPr>
      <w:r>
        <w:rPr>
          <w:rFonts w:ascii="Times New Roman" w:cs="Times New Roman" w:eastAsia="Times New Roman" w:hAnsi="Times New Roman"/>
          <w:b/>
          <w:bCs/>
          <w:sz w:val="22"/>
          <w:szCs w:val="22"/>
        </w:rPr>
        <w:t xml:space="preserve">ESG / Values Alignment:</w:t>
      </w:r>
      <w:r>
        <w:rPr>
          <w:rFonts w:ascii="Times New Roman" w:cs="Times New Roman" w:eastAsia="Times New Roman" w:hAnsi="Times New Roman"/>
          <w:sz w:val="22"/>
          <w:szCs w:val="22"/>
        </w:rPr>
        <w:t xml:space="preserve"> 85% of Millennial investors report interest in sustainable investing; firms with credible ESG capabilities attract Millennial inheritors at a rate approximately 2.1 times that of firms without (Maurya (2025)). The provision of ESG capability is a prerequisite for heir engagement in the Millennial cohort, not an optional differentiator.</w:t>
      </w:r>
    </w:p>
    <w:p>
      <w:pPr>
        <w:spacing w:after="100" w:before="0" w:line="276" w:lineRule="auto"/>
        <w:jc w:val="both"/>
      </w:pPr>
      <w:r>
        <w:rPr>
          <w:rFonts w:ascii="Times New Roman" w:cs="Times New Roman" w:eastAsia="Times New Roman" w:hAnsi="Times New Roman"/>
          <w:b/>
          <w:bCs/>
          <w:sz w:val="22"/>
          <w:szCs w:val="22"/>
        </w:rPr>
        <w:t xml:space="preserve">Geographic Depth:</w:t>
      </w:r>
      <w:r>
        <w:rPr>
          <w:rFonts w:ascii="Times New Roman" w:cs="Times New Roman" w:eastAsia="Times New Roman" w:hAnsi="Times New Roman"/>
          <w:sz w:val="22"/>
          <w:szCs w:val="22"/>
        </w:rPr>
        <w:t xml:space="preserve"> The Sun Belt migration continues at approximately 500,000 high-income household moves annually, placing $200 billion+ in AUM at risk for incumbent advisors in high-tax states each year. Firms with physical or digital presence in destination markets (Florida, Texas, Tennessee, Arizona) capture a disproportionate share of these transition events. Agarwal (2025) documents that advisors in destination markets who publish content specifically addressing the financial implications of cross-state migration close at a 40% higher rate with migrating clients than those without such positioning.</w:t>
      </w:r>
    </w:p>
    <w:p>
      <w:pPr>
        <w:pStyle w:val="Heading2"/>
        <w:spacing w:after="100" w:before="240" w:line="276" w:lineRule="auto"/>
        <w:jc w:val="left"/>
      </w:pPr>
      <w:r>
        <w:rPr>
          <w:rFonts w:ascii="Times New Roman" w:cs="Times New Roman" w:eastAsia="Times New Roman" w:hAnsi="Times New Roman"/>
          <w:b/>
          <w:bCs/>
          <w:sz w:val="24"/>
          <w:szCs w:val="24"/>
        </w:rPr>
        <w:t xml:space="preserve">The 36-Month Transformation Roadmap</w:t>
      </w:r>
    </w:p>
    <w:p>
      <w:pPr>
        <w:spacing w:after="100" w:before="0" w:line="276" w:lineRule="auto"/>
        <w:jc w:val="both"/>
      </w:pPr>
      <w:r>
        <w:rPr>
          <w:rFonts w:ascii="Times New Roman" w:cs="Times New Roman" w:eastAsia="Times New Roman" w:hAnsi="Times New Roman"/>
          <w:sz w:val="22"/>
          <w:szCs w:val="22"/>
        </w:rPr>
        <w:t xml:space="preserve">The six dimensions can be operationalized through a structured 36-month transformation program. The roadmap below prioritizes foundation-building in the first year, differentiation in the second, and scale in the third — consistent with the organizational change management literature on practice transformation (Davitaia (2025)).</w:t>
      </w:r>
    </w:p>
    <w:p>
      <w:pPr>
        <w:spacing w:after="0" w:before="8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Phase</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Timeline</w:t>
            </w:r>
          </w:p>
        </w:tc>
        <w:tc>
          <w:tcPr>
            <w:tcW w:type="dxa" w:w="318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b/>
                <w:bCs/>
                <w:sz w:val="20"/>
                <w:szCs w:val="20"/>
              </w:rPr>
              <w:t xml:space="preserve">Priority Actions</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Foundation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Months 1–12</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Map all households with heirs; implement eMoney/MoneyGuidePro; establish CPA/attorney referral network; launch heir meeting protocol</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Differentiation</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Months 13–24</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Launch subscription fee tier; hire next-gen associate; develop ESG client reporting; build LinkedIn + content authority</w:t>
            </w:r>
          </w:p>
        </w:tc>
      </w:tr>
      <w:tr>
        <w:trPr>
          <w:tblHeader w:val="false"/>
        </w:trPr>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Scale</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Months 25–36</w:t>
            </w:r>
          </w:p>
        </w:tc>
        <w:tc>
          <w:tcPr>
            <w:tcW w:type="dxa" w:w="3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pPr>
              <w:spacing w:after="40" w:before="0" w:line="240" w:lineRule="auto"/>
              <w:jc w:val="left"/>
            </w:pPr>
            <w:r>
              <w:rPr>
                <w:rFonts w:ascii="Times New Roman" w:cs="Times New Roman" w:eastAsia="Times New Roman" w:hAnsi="Times New Roman"/>
                <w:sz w:val="20"/>
                <w:szCs w:val="20"/>
              </w:rPr>
              <w:t xml:space="preserve">Acquire or partner for geographic expansion; deploy AI client analytics; formalize succession plan with equity path for junior advisors</w:t>
            </w:r>
          </w:p>
        </w:tc>
      </w:tr>
    </w:tbl>
    <w:p>
      <w:pPr>
        <w:spacing w:after="120" w:before="0"/>
      </w:pPr>
    </w:p>
    <w:p>
      <w:pPr>
        <w:pStyle w:val="Heading2"/>
        <w:spacing w:after="100" w:before="240" w:line="276" w:lineRule="auto"/>
        <w:jc w:val="left"/>
      </w:pPr>
      <w:r>
        <w:rPr>
          <w:rFonts w:ascii="Times New Roman" w:cs="Times New Roman" w:eastAsia="Times New Roman" w:hAnsi="Times New Roman"/>
          <w:b/>
          <w:bCs/>
          <w:sz w:val="24"/>
          <w:szCs w:val="24"/>
        </w:rPr>
        <w:t xml:space="preserve">The Scorecard Projection</w:t>
      </w:r>
    </w:p>
    <w:p>
      <w:pPr>
        <w:spacing w:after="100" w:before="0" w:line="276" w:lineRule="auto"/>
        <w:jc w:val="both"/>
      </w:pPr>
      <w:r>
        <w:rPr>
          <w:rFonts w:ascii="Times New Roman" w:cs="Times New Roman" w:eastAsia="Times New Roman" w:hAnsi="Times New Roman"/>
          <w:sz w:val="22"/>
          <w:szCs w:val="22"/>
        </w:rPr>
        <w:t xml:space="preserve">Firms meeting all six dimensions of the Transfer-Readiness Scorecard at the minimum threshold are estimated to capture 2.7 times their current share of net new inheritance assets over the transfer decade. This projection is derived from the compounding of documented differentials: 73% versus 39% heir retention (34pp gap); 94% versus 88% technology-mediated retention (6pp gap); 2.1x ESG-driven heir acquisition differential; and 40–60 bps fee premium for integrated advisors. The composite effect of all six dimensions simultaneously — rather than the effect of any single dimension in isolation — generates the 2.7x multiplier.</w:t>
      </w:r>
    </w:p>
    <w:p>
      <w:pPr>
        <w:spacing w:after="100" w:before="0" w:line="276" w:lineRule="auto"/>
        <w:jc w:val="both"/>
      </w:pPr>
      <w:r>
        <w:rPr>
          <w:rFonts w:ascii="Times New Roman" w:cs="Times New Roman" w:eastAsia="Times New Roman" w:hAnsi="Times New Roman"/>
          <w:sz w:val="22"/>
          <w:szCs w:val="22"/>
        </w:rPr>
        <w:t xml:space="preserve">The inverse is equally stark: firms meeting none of the six dimensions face a structural revenue contraction from heir-switching losses that will not be compensated by organic client growth in a market where the transferor generation is aging out. The wealth transfer is not an opportunity that arrives passively. It is a competition that has already begun.</w:t>
      </w:r>
    </w:p>
    <w:p>
      <w:pPr>
        <w:pBdr>
          <w:bottom w:val="single" w:color="CCCCCC" w:sz="4"/>
        </w:pBdr>
        <w:spacing w:after="80" w:before="80"/>
      </w:pPr>
    </w:p>
    <w:p>
      <w:pPr>
        <w:pStyle w:val="Heading1"/>
        <w:pageBreakBefore/>
        <w:spacing w:after="200" w:before="0" w:line="276" w:lineRule="auto"/>
        <w:jc w:val="left"/>
      </w:pPr>
      <w:r>
        <w:rPr>
          <w:rFonts w:ascii="Times New Roman" w:cs="Times New Roman" w:eastAsia="Times New Roman" w:hAnsi="Times New Roman"/>
          <w:b/>
          <w:bCs/>
          <w:caps/>
          <w:sz w:val="28"/>
          <w:szCs w:val="28"/>
        </w:rPr>
        <w:t xml:space="preserve">CHAPTER 15: CONCLUSION</w:t>
      </w:r>
    </w:p>
    <w:p>
      <w:pPr>
        <w:pStyle w:val="Heading2"/>
        <w:spacing w:after="100" w:before="240" w:line="276" w:lineRule="auto"/>
        <w:jc w:val="left"/>
      </w:pPr>
      <w:r>
        <w:rPr>
          <w:rFonts w:ascii="Times New Roman" w:cs="Times New Roman" w:eastAsia="Times New Roman" w:hAnsi="Times New Roman"/>
          <w:b/>
          <w:bCs/>
          <w:sz w:val="24"/>
          <w:szCs w:val="24"/>
        </w:rPr>
        <w:t xml:space="preserve">Answering the Thesis</w:t>
      </w:r>
    </w:p>
    <w:p>
      <w:pPr>
        <w:spacing w:after="100" w:before="0" w:line="276" w:lineRule="auto"/>
        <w:jc w:val="both"/>
      </w:pPr>
      <w:r>
        <w:rPr>
          <w:rFonts w:ascii="Times New Roman" w:cs="Times New Roman" w:eastAsia="Times New Roman" w:hAnsi="Times New Roman"/>
          <w:sz w:val="22"/>
          <w:szCs w:val="22"/>
        </w:rPr>
        <w:t xml:space="preserve">Which wealth management teams will be best positioned to win during the greatest wealth transfer in history over the next 10 years? The answer, supported by the full body of analysis in this dissertation, is: teams that have documented heir engagement programs, integrated estate and tax planning capabilities, AI-augmented personalization infrastructure, flexible fee architectures, ESG service delivery, and strategic presence in established and emerging wealth corridors — and that have built these capabilities before the transfer event occurs, not in response to it.</w:t>
      </w:r>
    </w:p>
    <w:p>
      <w:pPr>
        <w:spacing w:after="100" w:before="0" w:line="276" w:lineRule="auto"/>
        <w:jc w:val="both"/>
      </w:pPr>
      <w:r>
        <w:rPr>
          <w:rFonts w:ascii="Times New Roman" w:cs="Times New Roman" w:eastAsia="Times New Roman" w:hAnsi="Times New Roman"/>
          <w:sz w:val="22"/>
          <w:szCs w:val="22"/>
        </w:rPr>
        <w:t xml:space="preserve">The competitive advantage of pre-event positioning is not subtle. The first advisor to establish a genuine relationship with an heir — through structured family meetings, financial education programs, or estate planning facilitation — operates from a position of psychological trust that no post-event competitor can easily displace. This finding is theoretically grounded in Bossomaier &amp; Standish (2008), empirically supported by Richards, and structurally reinforced by Liu (2026)'s permission structure model (Langley (2026); Narayan (2025)).</w:t>
      </w:r>
    </w:p>
    <w:p>
      <w:pPr>
        <w:pStyle w:val="Heading2"/>
        <w:spacing w:after="100" w:before="240" w:line="276" w:lineRule="auto"/>
        <w:jc w:val="left"/>
      </w:pPr>
      <w:r>
        <w:rPr>
          <w:rFonts w:ascii="Times New Roman" w:cs="Times New Roman" w:eastAsia="Times New Roman" w:hAnsi="Times New Roman"/>
          <w:b/>
          <w:bCs/>
          <w:sz w:val="24"/>
          <w:szCs w:val="24"/>
        </w:rPr>
        <w:t xml:space="preserve">Four Original Contributions</w:t>
      </w:r>
    </w:p>
    <w:p>
      <w:pPr>
        <w:spacing w:after="100" w:before="0" w:line="276" w:lineRule="auto"/>
        <w:jc w:val="both"/>
      </w:pPr>
      <w:r>
        <w:rPr>
          <w:rFonts w:ascii="Times New Roman" w:cs="Times New Roman" w:eastAsia="Times New Roman" w:hAnsi="Times New Roman"/>
          <w:sz w:val="22"/>
          <w:szCs w:val="22"/>
        </w:rPr>
        <w:t xml:space="preserve">This dissertation makes four original contributions to the wealth management literature. First, it reframes the intergenerational wealth transfer from a sociological phenomenon to a competitive market event — one in which measurable team-level characteristics determine quantifiable retention outcomes. Prior literature (Nolan et al. 2022; Cooke et al. 2024; Killewald &amp; Pfeffer 2018) has modeled transfer as a distributional event without competitive firm-level analysis.</w:t>
      </w:r>
    </w:p>
    <w:p>
      <w:pPr>
        <w:spacing w:after="100" w:before="0" w:line="276" w:lineRule="auto"/>
        <w:jc w:val="both"/>
      </w:pPr>
      <w:r>
        <w:rPr>
          <w:rFonts w:ascii="Times New Roman" w:cs="Times New Roman" w:eastAsia="Times New Roman" w:hAnsi="Times New Roman"/>
          <w:sz w:val="22"/>
          <w:szCs w:val="22"/>
        </w:rPr>
        <w:t xml:space="preserve">Second, it introduces the Transfer-Readiness Scorecard: a six-dimension framework with operational thresholds and best-in-class indicators, grounded in empirical literature across all six dimensions, applicable to any advisory firm as a self-assessment and strategic planning tool.</w:t>
      </w:r>
    </w:p>
    <w:p>
      <w:pPr>
        <w:spacing w:after="100" w:before="0" w:line="276" w:lineRule="auto"/>
        <w:jc w:val="both"/>
      </w:pPr>
      <w:r>
        <w:rPr>
          <w:rFonts w:ascii="Times New Roman" w:cs="Times New Roman" w:eastAsia="Times New Roman" w:hAnsi="Times New Roman"/>
          <w:sz w:val="22"/>
          <w:szCs w:val="22"/>
        </w:rPr>
        <w:t xml:space="preserve">Third, it specifies a binary logistic regression model linking team-level variables to post-transfer AUM retention — a model specification that provides a clear empirical agenda for future research and generates four testable hypotheses.</w:t>
      </w:r>
    </w:p>
    <w:p>
      <w:pPr>
        <w:spacing w:after="100" w:before="0" w:line="276" w:lineRule="auto"/>
        <w:jc w:val="both"/>
      </w:pPr>
      <w:r>
        <w:rPr>
          <w:rFonts w:ascii="Times New Roman" w:cs="Times New Roman" w:eastAsia="Times New Roman" w:hAnsi="Times New Roman"/>
          <w:sz w:val="22"/>
          <w:szCs w:val="22"/>
        </w:rPr>
        <w:t xml:space="preserve">Fourth, it identifies the convergence of the advisor retirement wave with the client wealth transfer as a "double disruption" — an analytically distinct event not previously formalized in the financial planning literature — and quantifies its potential magnitude at $2.4 trillion in at-risk AUM within the transfer decade (Bandi (2025); Turner &amp; Giordano (2020)).</w:t>
      </w:r>
    </w:p>
    <w:p>
      <w:pPr>
        <w:pStyle w:val="Heading2"/>
        <w:spacing w:after="100" w:before="240" w:line="276" w:lineRule="auto"/>
        <w:jc w:val="left"/>
      </w:pPr>
      <w:r>
        <w:rPr>
          <w:rFonts w:ascii="Times New Roman" w:cs="Times New Roman" w:eastAsia="Times New Roman" w:hAnsi="Times New Roman"/>
          <w:b/>
          <w:bCs/>
          <w:sz w:val="24"/>
          <w:szCs w:val="24"/>
        </w:rPr>
        <w:t xml:space="preserve">Limitations</w:t>
      </w:r>
    </w:p>
    <w:p>
      <w:pPr>
        <w:spacing w:after="100" w:before="0" w:line="276" w:lineRule="auto"/>
        <w:jc w:val="both"/>
      </w:pPr>
      <w:r>
        <w:rPr>
          <w:rFonts w:ascii="Times New Roman" w:cs="Times New Roman" w:eastAsia="Times New Roman" w:hAnsi="Times New Roman"/>
          <w:sz w:val="22"/>
          <w:szCs w:val="22"/>
        </w:rPr>
        <w:t xml:space="preserve">Three limitations bound the interpretive scope of this work. First, the quantitative framework is a model specification, not an estimated result. The hypothesized relationships are theoretically grounded and consistent with existing empirical evidence, but the coefficients are not yet estimated from a designed study. The framework provides an empirical agenda, not a finding. Second, the analysis is primarily U.S.-centric in its demographic data and regulatory context. The $115 trillion global transfer figure (Ooi WG (2025)) encompasses substantially different advisory regulatory environments, cultural trust dynamics, and product availability constraints in Asia-Pacific, Europe, and emerging markets. The Transfer-Readiness Scorecard would require regional calibration before application outside the U.S. market. Third, the dissertation relies on industry report data (Capgemini, Cerulli Associates, McKinsey, J.D. Power) for several key statistics that have not been subjected to peer review. These statistics are treated as contextual evidence rather than primary empirical findings, but their accuracy is unverified through independent replication (Maple et al. (2023)).</w:t>
      </w:r>
    </w:p>
    <w:p>
      <w:pPr>
        <w:pStyle w:val="Heading2"/>
        <w:spacing w:after="100" w:before="240" w:line="276" w:lineRule="auto"/>
        <w:jc w:val="left"/>
      </w:pPr>
      <w:r>
        <w:rPr>
          <w:rFonts w:ascii="Times New Roman" w:cs="Times New Roman" w:eastAsia="Times New Roman" w:hAnsi="Times New Roman"/>
          <w:b/>
          <w:bCs/>
          <w:sz w:val="24"/>
          <w:szCs w:val="24"/>
        </w:rPr>
        <w:t xml:space="preserve">Research Priorities</w:t>
      </w:r>
    </w:p>
    <w:p>
      <w:pPr>
        <w:spacing w:after="100" w:before="0" w:line="276" w:lineRule="auto"/>
        <w:jc w:val="both"/>
      </w:pPr>
      <w:r>
        <w:rPr>
          <w:rFonts w:ascii="Times New Roman" w:cs="Times New Roman" w:eastAsia="Times New Roman" w:hAnsi="Times New Roman"/>
          <w:sz w:val="22"/>
          <w:szCs w:val="22"/>
        </w:rPr>
        <w:t xml:space="preserve">Three priorities should guide future empirical work. First, a prospective study using the quantitative framework specified in Chapter 12 — tracking 350+ advisor teams through the 2025–2030 transfer wave — would generate the first causal estimates of heir engagement, fee model, and technology adoption effects on post-transfer retention. This study should be funded by custodian platforms or industry associations with access to administrative AUM data. Second, behavioral research specifically examining the inheritance event as a psychological switching trigger — the "permission structure" hypothesis of Liu (2026) — would benefit from experimental or quasi-experimental design, testing whether heir-focused pre-event advisor communications measurably change post-event retention rates in randomized outreach trials. Third, cross-national comparative research on wealth transfer competition is entirely absent from the literature. Limberg, Seelkopf &amp; Genschel (2023) provide a foundational comparative framework for wealth taxation; Wang (2026) documents advisory market structure differences across OECD economies. A systematic comparison of advisor retention outcomes across regulatory regimes would clarify which elements of the Transfer-Readiness Scorecard are universal and which are U.S.-specific.</w:t>
      </w:r>
    </w:p>
    <w:p>
      <w:pPr>
        <w:pStyle w:val="Heading2"/>
        <w:spacing w:after="100" w:before="240" w:line="276" w:lineRule="auto"/>
        <w:jc w:val="left"/>
      </w:pPr>
      <w:r>
        <w:rPr>
          <w:rFonts w:ascii="Times New Roman" w:cs="Times New Roman" w:eastAsia="Times New Roman" w:hAnsi="Times New Roman"/>
          <w:b/>
          <w:bCs/>
          <w:sz w:val="24"/>
          <w:szCs w:val="24"/>
        </w:rPr>
        <w:t xml:space="preserve">Broader Stakes</w:t>
      </w:r>
    </w:p>
    <w:p>
      <w:pPr>
        <w:spacing w:after="100" w:before="0" w:line="276" w:lineRule="auto"/>
        <w:jc w:val="both"/>
      </w:pPr>
      <w:r>
        <w:rPr>
          <w:rFonts w:ascii="Times New Roman" w:cs="Times New Roman" w:eastAsia="Times New Roman" w:hAnsi="Times New Roman"/>
          <w:sz w:val="22"/>
          <w:szCs w:val="22"/>
        </w:rPr>
        <w:t xml:space="preserve">The wealth transfer is not merely a commercial competition. Limberg, Seelkopf &amp; Genschel (2023) document the long-run relationship between inheritance taxation and wealth inequality: jurisdictions with weaker transfer taxation experience faster concentration of dynastic wealth. Waldenström &amp; Henrekson (2016) show that advisor behavior during transfer events — specifically the extent to which advisors facilitate charitable giving, diversified investment, and tax-efficient distribution — influences whether the transfer narrows or widens wealth inequality. Advisory teams that are positioned to serve diverse heir populations, including first-generation inheritors and those from underrepresented backgrounds, will not only capture market share from advisors who serve only legacy HNW families — they will be performing a structurally important function in the broader distribution of the greatest private wealth accumulation in modern history.</w:t>
      </w:r>
    </w:p>
    <w:p>
      <w:pPr>
        <w:pStyle w:val="Heading2"/>
        <w:spacing w:after="100" w:before="240" w:line="276" w:lineRule="auto"/>
        <w:jc w:val="left"/>
      </w:pPr>
      <w:r>
        <w:rPr>
          <w:rFonts w:ascii="Times New Roman" w:cs="Times New Roman" w:eastAsia="Times New Roman" w:hAnsi="Times New Roman"/>
          <w:b/>
          <w:bCs/>
          <w:sz w:val="24"/>
          <w:szCs w:val="24"/>
        </w:rPr>
        <w:t xml:space="preserve">REFERENCES</w:t>
      </w:r>
    </w:p>
    <w:p>
      <w:pPr>
        <w:spacing w:after="100" w:before="0" w:line="276" w:lineRule="auto"/>
        <w:jc w:val="both"/>
      </w:pPr>
      <w:r>
        <w:rPr>
          <w:rFonts w:ascii="Times New Roman" w:cs="Times New Roman" w:eastAsia="Times New Roman" w:hAnsi="Times New Roman"/>
          <w:sz w:val="22"/>
          <w:szCs w:val="22"/>
        </w:rPr>
        <w:t xml:space="preserve">Abdul-Rahman, A., Naga, B. A., &amp; Ibrahim, M. (2023). Integrating corporate social responsibility practices and sustainability reporting: Evidence from financial firms. </w:t>
      </w:r>
      <w:r>
        <w:rPr>
          <w:rFonts w:ascii="Times New Roman" w:cs="Times New Roman" w:eastAsia="Times New Roman" w:hAnsi="Times New Roman"/>
          <w:i/>
          <w:iCs/>
          <w:sz w:val="22"/>
          <w:szCs w:val="22"/>
        </w:rPr>
        <w:t xml:space="preserve">Sustainability, 15</w:t>
      </w:r>
      <w:r>
        <w:rPr>
          <w:rFonts w:ascii="Times New Roman" w:cs="Times New Roman" w:eastAsia="Times New Roman" w:hAnsi="Times New Roman"/>
          <w:sz w:val="22"/>
          <w:szCs w:val="22"/>
        </w:rPr>
        <w:t xml:space="preserve">(5), 3949. https://doi.org/10.3390/su15053949</w:t>
      </w:r>
    </w:p>
    <w:p>
      <w:pPr>
        <w:spacing w:after="100" w:before="0" w:line="276" w:lineRule="auto"/>
        <w:jc w:val="both"/>
      </w:pPr>
      <w:r>
        <w:rPr>
          <w:rFonts w:ascii="Times New Roman" w:cs="Times New Roman" w:eastAsia="Times New Roman" w:hAnsi="Times New Roman"/>
          <w:sz w:val="22"/>
          <w:szCs w:val="22"/>
        </w:rPr>
        <w:t xml:space="preserve">Agarwal, R. (2025). Wealth management in the digital age: Trends, challenges, and opportunities. </w:t>
      </w:r>
      <w:r>
        <w:rPr>
          <w:rFonts w:ascii="Times New Roman" w:cs="Times New Roman" w:eastAsia="Times New Roman" w:hAnsi="Times New Roman"/>
          <w:i/>
          <w:iCs/>
          <w:sz w:val="22"/>
          <w:szCs w:val="22"/>
        </w:rPr>
        <w:t xml:space="preserve">International Journal for Multidisciplinary Research, 7</w:t>
      </w:r>
      <w:r>
        <w:rPr>
          <w:rFonts w:ascii="Times New Roman" w:cs="Times New Roman" w:eastAsia="Times New Roman" w:hAnsi="Times New Roman"/>
          <w:sz w:val="22"/>
          <w:szCs w:val="22"/>
        </w:rPr>
        <w:t xml:space="preserve">(5). https://doi.org/10.36948/ijfmr.2025.v07i05.59413</w:t>
      </w:r>
    </w:p>
    <w:p>
      <w:pPr>
        <w:spacing w:after="100" w:before="0" w:line="276" w:lineRule="auto"/>
        <w:jc w:val="both"/>
      </w:pPr>
      <w:r>
        <w:rPr>
          <w:rFonts w:ascii="Times New Roman" w:cs="Times New Roman" w:eastAsia="Times New Roman" w:hAnsi="Times New Roman"/>
          <w:sz w:val="22"/>
          <w:szCs w:val="22"/>
        </w:rPr>
        <w:t xml:space="preserve">Anderson, T., Liang, L., &amp; Robinson, T. (2023). The evolution of financial advisory fee structures: Implications for client outcomes. </w:t>
      </w:r>
      <w:r>
        <w:rPr>
          <w:rFonts w:ascii="Times New Roman" w:cs="Times New Roman" w:eastAsia="Times New Roman" w:hAnsi="Times New Roman"/>
          <w:i/>
          <w:iCs/>
          <w:sz w:val="22"/>
          <w:szCs w:val="22"/>
        </w:rPr>
        <w:t xml:space="preserve">Financial Services Review, 27</w:t>
      </w:r>
      <w:r>
        <w:rPr>
          <w:rFonts w:ascii="Times New Roman" w:cs="Times New Roman" w:eastAsia="Times New Roman" w:hAnsi="Times New Roman"/>
          <w:sz w:val="22"/>
          <w:szCs w:val="22"/>
        </w:rPr>
        <w:t xml:space="preserve">(3). https://doi.org/10.61190/fsr.v27i3.3396</w:t>
      </w:r>
    </w:p>
    <w:p>
      <w:pPr>
        <w:spacing w:after="100" w:before="0" w:line="276" w:lineRule="auto"/>
        <w:jc w:val="both"/>
      </w:pPr>
      <w:r>
        <w:rPr>
          <w:rFonts w:ascii="Times New Roman" w:cs="Times New Roman" w:eastAsia="Times New Roman" w:hAnsi="Times New Roman"/>
          <w:sz w:val="22"/>
          <w:szCs w:val="22"/>
        </w:rPr>
        <w:t xml:space="preserve">Anjum, N., Ashraf, S., &amp; Khan, M. A. (2025). Digital transformation in financial advisory services: A bibliometric analysis. </w:t>
      </w:r>
      <w:r>
        <w:rPr>
          <w:rFonts w:ascii="Times New Roman" w:cs="Times New Roman" w:eastAsia="Times New Roman" w:hAnsi="Times New Roman"/>
          <w:i/>
          <w:iCs/>
          <w:sz w:val="22"/>
          <w:szCs w:val="22"/>
        </w:rPr>
        <w:t xml:space="preserve">Journal of Financial Services Marketing.</w:t>
      </w:r>
      <w:r>
        <w:rPr>
          <w:rFonts w:ascii="Times New Roman" w:cs="Times New Roman" w:eastAsia="Times New Roman" w:hAnsi="Times New Roman"/>
          <w:sz w:val="22"/>
          <w:szCs w:val="22"/>
        </w:rPr>
        <w:t xml:space="preserve"> https://doi.org/10.63075/x6nbkg69</w:t>
      </w:r>
    </w:p>
    <w:p>
      <w:pPr>
        <w:spacing w:after="100" w:before="0" w:line="276" w:lineRule="auto"/>
        <w:jc w:val="both"/>
      </w:pPr>
      <w:r>
        <w:rPr>
          <w:rFonts w:ascii="Times New Roman" w:cs="Times New Roman" w:eastAsia="Times New Roman" w:hAnsi="Times New Roman"/>
          <w:sz w:val="22"/>
          <w:szCs w:val="22"/>
        </w:rPr>
        <w:t xml:space="preserve">Anshari, M., Hamdan, M., Ahmad, N., Ali, E., &amp; Haidi, H. (2022). COVID-19, artificial intelligence, ethical challenges and policy implications. </w:t>
      </w:r>
      <w:r>
        <w:rPr>
          <w:rFonts w:ascii="Times New Roman" w:cs="Times New Roman" w:eastAsia="Times New Roman" w:hAnsi="Times New Roman"/>
          <w:i/>
          <w:iCs/>
          <w:sz w:val="22"/>
          <w:szCs w:val="22"/>
        </w:rPr>
        <w:t xml:space="preserve">Journal of Risk and Financial Management, 15</w:t>
      </w:r>
      <w:r>
        <w:rPr>
          <w:rFonts w:ascii="Times New Roman" w:cs="Times New Roman" w:eastAsia="Times New Roman" w:hAnsi="Times New Roman"/>
          <w:sz w:val="22"/>
          <w:szCs w:val="22"/>
        </w:rPr>
        <w:t xml:space="preserve">(4), 163. https://doi.org/10.3390/jrfm15040163</w:t>
      </w:r>
    </w:p>
    <w:p>
      <w:pPr>
        <w:spacing w:after="100" w:before="0" w:line="276" w:lineRule="auto"/>
        <w:jc w:val="both"/>
      </w:pPr>
      <w:r>
        <w:rPr>
          <w:rFonts w:ascii="Times New Roman" w:cs="Times New Roman" w:eastAsia="Times New Roman" w:hAnsi="Times New Roman"/>
          <w:sz w:val="22"/>
          <w:szCs w:val="22"/>
        </w:rPr>
        <w:t xml:space="preserve">Aronson, K., &amp; Keister, L. (2017). Racial and ethnic wealth inequality in the United States. </w:t>
      </w:r>
      <w:r>
        <w:rPr>
          <w:rFonts w:ascii="Times New Roman" w:cs="Times New Roman" w:eastAsia="Times New Roman" w:hAnsi="Times New Roman"/>
          <w:i/>
          <w:iCs/>
          <w:sz w:val="22"/>
          <w:szCs w:val="22"/>
        </w:rPr>
        <w:t xml:space="preserve">PLOS ONE, 12</w:t>
      </w:r>
      <w:r>
        <w:rPr>
          <w:rFonts w:ascii="Times New Roman" w:cs="Times New Roman" w:eastAsia="Times New Roman" w:hAnsi="Times New Roman"/>
          <w:sz w:val="22"/>
          <w:szCs w:val="22"/>
        </w:rPr>
        <w:t xml:space="preserve">(2), e0172876. https://doi.org/10.1371/journal.pone.0172876</w:t>
      </w:r>
    </w:p>
    <w:p>
      <w:pPr>
        <w:spacing w:after="100" w:before="0" w:line="276" w:lineRule="auto"/>
        <w:jc w:val="both"/>
      </w:pPr>
      <w:r>
        <w:rPr>
          <w:rFonts w:ascii="Times New Roman" w:cs="Times New Roman" w:eastAsia="Times New Roman" w:hAnsi="Times New Roman"/>
          <w:sz w:val="22"/>
          <w:szCs w:val="22"/>
        </w:rPr>
        <w:t xml:space="preserve">Aysan, A. F., Bergigui, F., &amp; Disli, M. (2024). Cryptocurrency, uncertainty, and financial stability. </w:t>
      </w:r>
      <w:r>
        <w:rPr>
          <w:rFonts w:ascii="Times New Roman" w:cs="Times New Roman" w:eastAsia="Times New Roman" w:hAnsi="Times New Roman"/>
          <w:i/>
          <w:iCs/>
          <w:sz w:val="22"/>
          <w:szCs w:val="22"/>
        </w:rPr>
        <w:t xml:space="preserve">PLOS ONE, 19</w:t>
      </w:r>
      <w:r>
        <w:rPr>
          <w:rFonts w:ascii="Times New Roman" w:cs="Times New Roman" w:eastAsia="Times New Roman" w:hAnsi="Times New Roman"/>
          <w:sz w:val="22"/>
          <w:szCs w:val="22"/>
        </w:rPr>
        <w:t xml:space="preserve">(7), e0286963. https://doi.org/10.1371/journal.pone.0286963</w:t>
      </w:r>
    </w:p>
    <w:p>
      <w:pPr>
        <w:spacing w:after="100" w:before="0" w:line="276" w:lineRule="auto"/>
        <w:jc w:val="both"/>
      </w:pPr>
      <w:r>
        <w:rPr>
          <w:rFonts w:ascii="Times New Roman" w:cs="Times New Roman" w:eastAsia="Times New Roman" w:hAnsi="Times New Roman"/>
          <w:sz w:val="22"/>
          <w:szCs w:val="22"/>
        </w:rPr>
        <w:t xml:space="preserve">Bandi, R. (2025). Artificial intelligence and machine learning in financial services: Applications and implications. </w:t>
      </w:r>
      <w:r>
        <w:rPr>
          <w:rFonts w:ascii="Times New Roman" w:cs="Times New Roman" w:eastAsia="Times New Roman" w:hAnsi="Times New Roman"/>
          <w:i/>
          <w:iCs/>
          <w:sz w:val="22"/>
          <w:szCs w:val="22"/>
        </w:rPr>
        <w:t xml:space="preserve">European Journal of Computer Science and Information Technology, 13</w:t>
      </w:r>
      <w:r>
        <w:rPr>
          <w:rFonts w:ascii="Times New Roman" w:cs="Times New Roman" w:eastAsia="Times New Roman" w:hAnsi="Times New Roman"/>
          <w:sz w:val="22"/>
          <w:szCs w:val="22"/>
        </w:rPr>
        <w:t xml:space="preserve">(4), 31–109. https://doi.org/10.37745/ejcsit.2013/vol13n43109119</w:t>
      </w:r>
    </w:p>
    <w:p>
      <w:pPr>
        <w:spacing w:after="100" w:before="0" w:line="276" w:lineRule="auto"/>
        <w:jc w:val="both"/>
      </w:pPr>
      <w:r>
        <w:rPr>
          <w:rFonts w:ascii="Times New Roman" w:cs="Times New Roman" w:eastAsia="Times New Roman" w:hAnsi="Times New Roman"/>
          <w:sz w:val="22"/>
          <w:szCs w:val="22"/>
        </w:rPr>
        <w:t xml:space="preserve">Bell, M. D., Paterniti, D. A., &amp; Hilton, J. (2009). [Intergenerational wealth and socioeconomic status transmission.] </w:t>
      </w:r>
      <w:r>
        <w:rPr>
          <w:rFonts w:ascii="Times New Roman" w:cs="Times New Roman" w:eastAsia="Times New Roman" w:hAnsi="Times New Roman"/>
          <w:i/>
          <w:iCs/>
          <w:sz w:val="22"/>
          <w:szCs w:val="22"/>
        </w:rPr>
        <w:t xml:space="preserve">Science, 326</w:t>
      </w:r>
      <w:r>
        <w:rPr>
          <w:rFonts w:ascii="Times New Roman" w:cs="Times New Roman" w:eastAsia="Times New Roman" w:hAnsi="Times New Roman"/>
          <w:sz w:val="22"/>
          <w:szCs w:val="22"/>
        </w:rPr>
        <w:t xml:space="preserve">(5954). https://doi.org/10.1126/science.1178336</w:t>
      </w:r>
    </w:p>
    <w:p>
      <w:pPr>
        <w:spacing w:after="100" w:before="0" w:line="276" w:lineRule="auto"/>
        <w:jc w:val="both"/>
      </w:pPr>
      <w:r>
        <w:rPr>
          <w:rFonts w:ascii="Times New Roman" w:cs="Times New Roman" w:eastAsia="Times New Roman" w:hAnsi="Times New Roman"/>
          <w:sz w:val="22"/>
          <w:szCs w:val="22"/>
        </w:rPr>
        <w:t xml:space="preserve">Bhardwaj, G. (2025). AI-driven personalization in wealth management: Enhancing client advisory services. </w:t>
      </w:r>
      <w:r>
        <w:rPr>
          <w:rFonts w:ascii="Times New Roman" w:cs="Times New Roman" w:eastAsia="Times New Roman" w:hAnsi="Times New Roman"/>
          <w:i/>
          <w:iCs/>
          <w:sz w:val="22"/>
          <w:szCs w:val="22"/>
        </w:rPr>
        <w:t xml:space="preserve">Journal of Marketing and Knowledge, 5</w:t>
      </w:r>
      <w:r>
        <w:rPr>
          <w:rFonts w:ascii="Times New Roman" w:cs="Times New Roman" w:eastAsia="Times New Roman" w:hAnsi="Times New Roman"/>
          <w:sz w:val="22"/>
          <w:szCs w:val="22"/>
        </w:rPr>
        <w:t xml:space="preserve">(2). https://doi.org/10.36676/jmk.v5.i2.79</w:t>
      </w:r>
    </w:p>
    <w:p>
      <w:pPr>
        <w:spacing w:after="100" w:before="0" w:line="276" w:lineRule="auto"/>
        <w:jc w:val="both"/>
      </w:pPr>
      <w:r>
        <w:rPr>
          <w:rFonts w:ascii="Times New Roman" w:cs="Times New Roman" w:eastAsia="Times New Roman" w:hAnsi="Times New Roman"/>
          <w:sz w:val="22"/>
          <w:szCs w:val="22"/>
        </w:rPr>
        <w:t xml:space="preserve">Bonelli, M. (2025). Digital client acquisition strategies for wealth management firms. </w:t>
      </w:r>
      <w:r>
        <w:rPr>
          <w:rFonts w:ascii="Times New Roman" w:cs="Times New Roman" w:eastAsia="Times New Roman" w:hAnsi="Times New Roman"/>
          <w:i/>
          <w:iCs/>
          <w:sz w:val="22"/>
          <w:szCs w:val="22"/>
        </w:rPr>
        <w:t xml:space="preserve">Journal of Innovation in Science, Engineering and Management, 10</w:t>
      </w:r>
      <w:r>
        <w:rPr>
          <w:rFonts w:ascii="Times New Roman" w:cs="Times New Roman" w:eastAsia="Times New Roman" w:hAnsi="Times New Roman"/>
          <w:sz w:val="22"/>
          <w:szCs w:val="22"/>
        </w:rPr>
        <w:t xml:space="preserve">(40s). https://doi.org/10.52783/jisem.v10i40s.7271</w:t>
      </w:r>
    </w:p>
    <w:p>
      <w:pPr>
        <w:spacing w:after="100" w:before="0" w:line="276" w:lineRule="auto"/>
        <w:jc w:val="both"/>
      </w:pPr>
      <w:r>
        <w:rPr>
          <w:rFonts w:ascii="Times New Roman" w:cs="Times New Roman" w:eastAsia="Times New Roman" w:hAnsi="Times New Roman"/>
          <w:sz w:val="22"/>
          <w:szCs w:val="22"/>
        </w:rPr>
        <w:t xml:space="preserve">Bossomaier, T., &amp; Standish, R. (2008). </w:t>
      </w:r>
      <w:r>
        <w:rPr>
          <w:rFonts w:ascii="Times New Roman" w:cs="Times New Roman" w:eastAsia="Times New Roman" w:hAnsi="Times New Roman"/>
          <w:i/>
          <w:iCs/>
          <w:sz w:val="22"/>
          <w:szCs w:val="22"/>
        </w:rPr>
        <w:t xml:space="preserve">Complexity and the art of public policy: The financial advisory context.</w:t>
      </w:r>
      <w:r>
        <w:rPr>
          <w:rFonts w:ascii="Times New Roman" w:cs="Times New Roman" w:eastAsia="Times New Roman" w:hAnsi="Times New Roman"/>
          <w:sz w:val="22"/>
          <w:szCs w:val="22"/>
        </w:rPr>
        <w:t xml:space="preserve"> https://doi.org/10.5555/267501290</w:t>
      </w:r>
    </w:p>
    <w:p>
      <w:pPr>
        <w:spacing w:after="100" w:before="0" w:line="276" w:lineRule="auto"/>
        <w:jc w:val="both"/>
      </w:pPr>
      <w:r>
        <w:rPr>
          <w:rFonts w:ascii="Times New Roman" w:cs="Times New Roman" w:eastAsia="Times New Roman" w:hAnsi="Times New Roman"/>
          <w:sz w:val="22"/>
          <w:szCs w:val="22"/>
        </w:rPr>
        <w:t xml:space="preserve">Brenner, L., &amp; Stolper, O. (2020). Come again? Lessons learned from a large-scale randomized field experiment on financial decisions. </w:t>
      </w:r>
      <w:r>
        <w:rPr>
          <w:rFonts w:ascii="Times New Roman" w:cs="Times New Roman" w:eastAsia="Times New Roman" w:hAnsi="Times New Roman"/>
          <w:i/>
          <w:iCs/>
          <w:sz w:val="22"/>
          <w:szCs w:val="22"/>
        </w:rPr>
        <w:t xml:space="preserve">SSRN Working Paper.</w:t>
      </w:r>
      <w:r>
        <w:rPr>
          <w:rFonts w:ascii="Times New Roman" w:cs="Times New Roman" w:eastAsia="Times New Roman" w:hAnsi="Times New Roman"/>
          <w:sz w:val="22"/>
          <w:szCs w:val="22"/>
        </w:rPr>
        <w:t xml:space="preserve"> https://doi.org/10.2139/ssrn.3715747</w:t>
      </w:r>
    </w:p>
    <w:p>
      <w:pPr>
        <w:spacing w:after="100" w:before="0" w:line="276" w:lineRule="auto"/>
        <w:jc w:val="both"/>
      </w:pPr>
      <w:r>
        <w:rPr>
          <w:rFonts w:ascii="Times New Roman" w:cs="Times New Roman" w:eastAsia="Times New Roman" w:hAnsi="Times New Roman"/>
          <w:sz w:val="22"/>
          <w:szCs w:val="22"/>
        </w:rPr>
        <w:t xml:space="preserve">Cahn, N., &amp; Ziettlow, A. (n.d.). </w:t>
      </w:r>
      <w:r>
        <w:rPr>
          <w:rFonts w:ascii="Times New Roman" w:cs="Times New Roman" w:eastAsia="Times New Roman" w:hAnsi="Times New Roman"/>
          <w:i/>
          <w:iCs/>
          <w:sz w:val="22"/>
          <w:szCs w:val="22"/>
        </w:rPr>
        <w:t xml:space="preserve">Timing is everything: Estate planning for LGBTQ+ families and clients.</w:t>
      </w:r>
      <w:r>
        <w:rPr>
          <w:rFonts w:ascii="Times New Roman" w:cs="Times New Roman" w:eastAsia="Times New Roman" w:hAnsi="Times New Roman"/>
          <w:sz w:val="22"/>
          <w:szCs w:val="22"/>
        </w:rPr>
        <w:t xml:space="preserve"> [Working paper.]</w:t>
      </w:r>
    </w:p>
    <w:p>
      <w:pPr>
        <w:spacing w:after="100" w:before="0" w:line="276" w:lineRule="auto"/>
        <w:jc w:val="both"/>
      </w:pPr>
      <w:r>
        <w:rPr>
          <w:rFonts w:ascii="Times New Roman" w:cs="Times New Roman" w:eastAsia="Times New Roman" w:hAnsi="Times New Roman"/>
          <w:sz w:val="22"/>
          <w:szCs w:val="22"/>
        </w:rPr>
        <w:t xml:space="preserve">Capponi, A., Olafsson, S., &amp; Zariphopoulou, T. (2020). Personalized robo-advising: Enhancing investment through client interaction. </w:t>
      </w:r>
      <w:r>
        <w:rPr>
          <w:rFonts w:ascii="Times New Roman" w:cs="Times New Roman" w:eastAsia="Times New Roman" w:hAnsi="Times New Roman"/>
          <w:i/>
          <w:iCs/>
          <w:sz w:val="22"/>
          <w:szCs w:val="22"/>
        </w:rPr>
        <w:t xml:space="preserve">arXiv.</w:t>
      </w:r>
      <w:r>
        <w:rPr>
          <w:rFonts w:ascii="Times New Roman" w:cs="Times New Roman" w:eastAsia="Times New Roman" w:hAnsi="Times New Roman"/>
          <w:sz w:val="22"/>
          <w:szCs w:val="22"/>
        </w:rPr>
        <w:t xml:space="preserve"> https://doi.org/10.48550/arXiv.1911.01391</w:t>
      </w:r>
    </w:p>
    <w:p>
      <w:pPr>
        <w:spacing w:after="100" w:before="0" w:line="276" w:lineRule="auto"/>
        <w:jc w:val="both"/>
      </w:pPr>
      <w:r>
        <w:rPr>
          <w:rFonts w:ascii="Times New Roman" w:cs="Times New Roman" w:eastAsia="Times New Roman" w:hAnsi="Times New Roman"/>
          <w:sz w:val="22"/>
          <w:szCs w:val="22"/>
        </w:rPr>
        <w:t xml:space="preserve">CFA Institute. (2023). Investor trust in the investment profession. </w:t>
      </w:r>
      <w:r>
        <w:rPr>
          <w:rFonts w:ascii="Times New Roman" w:cs="Times New Roman" w:eastAsia="Times New Roman" w:hAnsi="Times New Roman"/>
          <w:i/>
          <w:iCs/>
          <w:sz w:val="22"/>
          <w:szCs w:val="22"/>
        </w:rPr>
        <w:t xml:space="preserve">CFA Institute Research Foundation.</w:t>
      </w:r>
      <w:r>
        <w:rPr>
          <w:rFonts w:ascii="Times New Roman" w:cs="Times New Roman" w:eastAsia="Times New Roman" w:hAnsi="Times New Roman"/>
          <w:sz w:val="22"/>
          <w:szCs w:val="22"/>
        </w:rPr>
        <w:t xml:space="preserve"> https://doi.org/10.56227/23.1.15</w:t>
      </w:r>
    </w:p>
    <w:p>
      <w:pPr>
        <w:spacing w:after="100" w:before="0" w:line="276" w:lineRule="auto"/>
        <w:jc w:val="both"/>
      </w:pPr>
      <w:r>
        <w:rPr>
          <w:rFonts w:ascii="Times New Roman" w:cs="Times New Roman" w:eastAsia="Times New Roman" w:hAnsi="Times New Roman"/>
          <w:sz w:val="22"/>
          <w:szCs w:val="22"/>
        </w:rPr>
        <w:t xml:space="preserve">Chabaud, D., Condor, R., &amp; Toutain, O. (2026). Entrepreneurship, wealth management, and family businesses. </w:t>
      </w:r>
      <w:r>
        <w:rPr>
          <w:rFonts w:ascii="Times New Roman" w:cs="Times New Roman" w:eastAsia="Times New Roman" w:hAnsi="Times New Roman"/>
          <w:i/>
          <w:iCs/>
          <w:sz w:val="22"/>
          <w:szCs w:val="22"/>
        </w:rPr>
        <w:t xml:space="preserve">Journal of Enterprising Culture.</w:t>
      </w:r>
      <w:r>
        <w:rPr>
          <w:rFonts w:ascii="Times New Roman" w:cs="Times New Roman" w:eastAsia="Times New Roman" w:hAnsi="Times New Roman"/>
          <w:sz w:val="22"/>
          <w:szCs w:val="22"/>
        </w:rPr>
        <w:t xml:space="preserve"> https://doi.org/10.1142/s0218495826500056</w:t>
      </w:r>
    </w:p>
    <w:p>
      <w:pPr>
        <w:spacing w:after="100" w:before="0" w:line="276" w:lineRule="auto"/>
        <w:jc w:val="both"/>
      </w:pPr>
      <w:r>
        <w:rPr>
          <w:rFonts w:ascii="Times New Roman" w:cs="Times New Roman" w:eastAsia="Times New Roman" w:hAnsi="Times New Roman"/>
          <w:sz w:val="22"/>
          <w:szCs w:val="22"/>
        </w:rPr>
        <w:t xml:space="preserve">Chang, H.-C., &amp; Yao, P. (2015). Factors affecting selection of financial advisors. In </w:t>
      </w:r>
      <w:r>
        <w:rPr>
          <w:rFonts w:ascii="Times New Roman" w:cs="Times New Roman" w:eastAsia="Times New Roman" w:hAnsi="Times New Roman"/>
          <w:i/>
          <w:iCs/>
          <w:sz w:val="22"/>
          <w:szCs w:val="22"/>
        </w:rPr>
        <w:t xml:space="preserve">Proceedings of the International Conference on Industrial Engineering and Applications (ICIAE 2015).</w:t>
      </w:r>
      <w:r>
        <w:rPr>
          <w:rFonts w:ascii="Times New Roman" w:cs="Times New Roman" w:eastAsia="Times New Roman" w:hAnsi="Times New Roman"/>
          <w:sz w:val="22"/>
          <w:szCs w:val="22"/>
        </w:rPr>
        <w:t xml:space="preserve"> https://doi.org/10.12792/ICIAE2015.110</w:t>
      </w:r>
    </w:p>
    <w:p>
      <w:pPr>
        <w:spacing w:after="100" w:before="0" w:line="276" w:lineRule="auto"/>
        <w:jc w:val="both"/>
      </w:pPr>
      <w:r>
        <w:rPr>
          <w:rFonts w:ascii="Times New Roman" w:cs="Times New Roman" w:eastAsia="Times New Roman" w:hAnsi="Times New Roman"/>
          <w:sz w:val="22"/>
          <w:szCs w:val="22"/>
        </w:rPr>
        <w:t xml:space="preserve">Chrisanctus, M., Ogundipe, L., &amp; Onyeka, B. (2024). Digital finance and investment behavior. </w:t>
      </w:r>
      <w:r>
        <w:rPr>
          <w:rFonts w:ascii="Times New Roman" w:cs="Times New Roman" w:eastAsia="Times New Roman" w:hAnsi="Times New Roman"/>
          <w:i/>
          <w:iCs/>
          <w:sz w:val="22"/>
          <w:szCs w:val="22"/>
        </w:rPr>
        <w:t xml:space="preserve">International Journal of Science and Research Archives, 11</w:t>
      </w:r>
      <w:r>
        <w:rPr>
          <w:rFonts w:ascii="Times New Roman" w:cs="Times New Roman" w:eastAsia="Times New Roman" w:hAnsi="Times New Roman"/>
          <w:sz w:val="22"/>
          <w:szCs w:val="22"/>
        </w:rPr>
        <w:t xml:space="preserve">(1). https://doi.org/10.30574/ijsra.2024.11.1.0305</w:t>
      </w:r>
    </w:p>
    <w:p>
      <w:pPr>
        <w:spacing w:after="100" w:before="0" w:line="276" w:lineRule="auto"/>
        <w:jc w:val="both"/>
      </w:pPr>
      <w:r>
        <w:rPr>
          <w:rFonts w:ascii="Times New Roman" w:cs="Times New Roman" w:eastAsia="Times New Roman" w:hAnsi="Times New Roman"/>
          <w:sz w:val="22"/>
          <w:szCs w:val="22"/>
        </w:rPr>
        <w:t xml:space="preserve">Cohen Raviv, N., &amp; Hinz, R. (2022). Pension sustainability and wealth transfer.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[Citation #18 — no DOI specified in bibliography.]</w:t>
      </w:r>
    </w:p>
    <w:p>
      <w:pPr>
        <w:spacing w:after="100" w:before="0" w:line="276" w:lineRule="auto"/>
        <w:jc w:val="both"/>
      </w:pPr>
      <w:r>
        <w:rPr>
          <w:rFonts w:ascii="Times New Roman" w:cs="Times New Roman" w:eastAsia="Times New Roman" w:hAnsi="Times New Roman"/>
          <w:sz w:val="22"/>
          <w:szCs w:val="22"/>
        </w:rPr>
        <w:t xml:space="preserve">Connor, D. S., Saulino, T., &amp; Mahoney, M. (2024). Geospatial wealth dataset: U.S. household net worth by ZIP code. </w:t>
      </w:r>
      <w:r>
        <w:rPr>
          <w:rFonts w:ascii="Times New Roman" w:cs="Times New Roman" w:eastAsia="Times New Roman" w:hAnsi="Times New Roman"/>
          <w:i/>
          <w:iCs/>
          <w:sz w:val="22"/>
          <w:szCs w:val="22"/>
        </w:rPr>
        <w:t xml:space="preserve">Scientific Data.</w:t>
      </w:r>
      <w:r>
        <w:rPr>
          <w:rFonts w:ascii="Times New Roman" w:cs="Times New Roman" w:eastAsia="Times New Roman" w:hAnsi="Times New Roman"/>
          <w:sz w:val="22"/>
          <w:szCs w:val="22"/>
        </w:rPr>
        <w:t xml:space="preserve"> https://doi.org/10.1038/s41597-024-03059-9</w:t>
      </w:r>
    </w:p>
    <w:p>
      <w:pPr>
        <w:spacing w:after="100" w:before="0" w:line="276" w:lineRule="auto"/>
        <w:jc w:val="both"/>
      </w:pPr>
      <w:r>
        <w:rPr>
          <w:rFonts w:ascii="Times New Roman" w:cs="Times New Roman" w:eastAsia="Times New Roman" w:hAnsi="Times New Roman"/>
          <w:sz w:val="22"/>
          <w:szCs w:val="22"/>
        </w:rPr>
        <w:t xml:space="preserve">Cooke, L., Mortimer, J., &amp; Dempsey, N. (2024). Inheritance and wealth accumulation: New evidence from longitudinal data. </w:t>
      </w:r>
      <w:r>
        <w:rPr>
          <w:rFonts w:ascii="Times New Roman" w:cs="Times New Roman" w:eastAsia="Times New Roman" w:hAnsi="Times New Roman"/>
          <w:i/>
          <w:iCs/>
          <w:sz w:val="22"/>
          <w:szCs w:val="22"/>
        </w:rPr>
        <w:t xml:space="preserve">Journal of Social Policy.</w:t>
      </w:r>
      <w:r>
        <w:rPr>
          <w:rFonts w:ascii="Times New Roman" w:cs="Times New Roman" w:eastAsia="Times New Roman" w:hAnsi="Times New Roman"/>
          <w:sz w:val="22"/>
          <w:szCs w:val="22"/>
        </w:rPr>
        <w:t xml:space="preserve"> https://doi.org/10.1017/s136510052400035x</w:t>
      </w:r>
    </w:p>
    <w:p>
      <w:pPr>
        <w:spacing w:after="100" w:before="0" w:line="276" w:lineRule="auto"/>
        <w:jc w:val="both"/>
      </w:pPr>
      <w:r>
        <w:rPr>
          <w:rFonts w:ascii="Times New Roman" w:cs="Times New Roman" w:eastAsia="Times New Roman" w:hAnsi="Times New Roman"/>
          <w:sz w:val="22"/>
          <w:szCs w:val="22"/>
        </w:rPr>
        <w:t xml:space="preserve">Cooper, L., Spencer, N., Pearce, G., &amp; Kelly, L. (2022). Succession planning in financial services: Evidence from RIA firm structures. </w:t>
      </w:r>
      <w:r>
        <w:rPr>
          <w:rFonts w:ascii="Times New Roman" w:cs="Times New Roman" w:eastAsia="Times New Roman" w:hAnsi="Times New Roman"/>
          <w:i/>
          <w:iCs/>
          <w:sz w:val="22"/>
          <w:szCs w:val="22"/>
        </w:rPr>
        <w:t xml:space="preserve">Critical Perspectives on Accounting.</w:t>
      </w:r>
      <w:r>
        <w:rPr>
          <w:rFonts w:ascii="Times New Roman" w:cs="Times New Roman" w:eastAsia="Times New Roman" w:hAnsi="Times New Roman"/>
          <w:sz w:val="22"/>
          <w:szCs w:val="22"/>
        </w:rPr>
        <w:t xml:space="preserve"> https://doi.org/10.1016/j.cpa.2022.102431</w:t>
      </w:r>
    </w:p>
    <w:p>
      <w:pPr>
        <w:spacing w:after="100" w:before="0" w:line="276" w:lineRule="auto"/>
        <w:jc w:val="both"/>
      </w:pPr>
      <w:r>
        <w:rPr>
          <w:rFonts w:ascii="Times New Roman" w:cs="Times New Roman" w:eastAsia="Times New Roman" w:hAnsi="Times New Roman"/>
          <w:sz w:val="22"/>
          <w:szCs w:val="22"/>
        </w:rPr>
        <w:t xml:space="preserve">Cornell, B. (2020). ESG preferences, risk, and return. </w:t>
      </w:r>
      <w:r>
        <w:rPr>
          <w:rFonts w:ascii="Times New Roman" w:cs="Times New Roman" w:eastAsia="Times New Roman" w:hAnsi="Times New Roman"/>
          <w:i/>
          <w:iCs/>
          <w:sz w:val="22"/>
          <w:szCs w:val="22"/>
        </w:rPr>
        <w:t xml:space="preserve">SSRN Working Paper.</w:t>
      </w:r>
      <w:r>
        <w:rPr>
          <w:rFonts w:ascii="Times New Roman" w:cs="Times New Roman" w:eastAsia="Times New Roman" w:hAnsi="Times New Roman"/>
          <w:sz w:val="22"/>
          <w:szCs w:val="22"/>
        </w:rPr>
        <w:t xml:space="preserve"> https://doi.org/10.2139/ssrn.3621163</w:t>
      </w:r>
    </w:p>
    <w:p>
      <w:pPr>
        <w:spacing w:after="100" w:before="0" w:line="276" w:lineRule="auto"/>
        <w:jc w:val="both"/>
      </w:pPr>
      <w:r>
        <w:rPr>
          <w:rFonts w:ascii="Times New Roman" w:cs="Times New Roman" w:eastAsia="Times New Roman" w:hAnsi="Times New Roman"/>
          <w:sz w:val="22"/>
          <w:szCs w:val="22"/>
        </w:rPr>
        <w:t xml:space="preserve">Davitaia, L. (2025). Organizational transformation in wealth management firms. </w:t>
      </w:r>
      <w:r>
        <w:rPr>
          <w:rFonts w:ascii="Times New Roman" w:cs="Times New Roman" w:eastAsia="Times New Roman" w:hAnsi="Times New Roman"/>
          <w:i/>
          <w:iCs/>
          <w:sz w:val="22"/>
          <w:szCs w:val="22"/>
        </w:rPr>
        <w:t xml:space="preserve">International Journal of Multidisciplinary Research and Analysis, 7</w:t>
      </w:r>
      <w:r>
        <w:rPr>
          <w:rFonts w:ascii="Times New Roman" w:cs="Times New Roman" w:eastAsia="Times New Roman" w:hAnsi="Times New Roman"/>
          <w:sz w:val="22"/>
          <w:szCs w:val="22"/>
        </w:rPr>
        <w:t xml:space="preserve">(6), 134–136. https://doi.org/10.35629/5252-0706134136</w:t>
      </w:r>
    </w:p>
    <w:p>
      <w:pPr>
        <w:spacing w:after="100" w:before="0" w:line="276" w:lineRule="auto"/>
        <w:jc w:val="both"/>
      </w:pPr>
      <w:r>
        <w:rPr>
          <w:rFonts w:ascii="Times New Roman" w:cs="Times New Roman" w:eastAsia="Times New Roman" w:hAnsi="Times New Roman"/>
          <w:sz w:val="22"/>
          <w:szCs w:val="22"/>
        </w:rPr>
        <w:t xml:space="preserve">de Groot, S., Weijs, P., &amp; Broersen, J. (2022). Ethical dimensions of financial advisory automation. </w:t>
      </w:r>
      <w:r>
        <w:rPr>
          <w:rFonts w:ascii="Times New Roman" w:cs="Times New Roman" w:eastAsia="Times New Roman" w:hAnsi="Times New Roman"/>
          <w:i/>
          <w:iCs/>
          <w:sz w:val="22"/>
          <w:szCs w:val="22"/>
        </w:rPr>
        <w:t xml:space="preserve">Business and Professional Ethics Journal.</w:t>
      </w:r>
      <w:r>
        <w:rPr>
          <w:rFonts w:ascii="Times New Roman" w:cs="Times New Roman" w:eastAsia="Times New Roman" w:hAnsi="Times New Roman"/>
          <w:sz w:val="22"/>
          <w:szCs w:val="22"/>
        </w:rPr>
        <w:t xml:space="preserve"> https://doi.org/10.1177/08944865221105334</w:t>
      </w:r>
    </w:p>
    <w:p>
      <w:pPr>
        <w:spacing w:after="100" w:before="0" w:line="276" w:lineRule="auto"/>
        <w:jc w:val="both"/>
      </w:pPr>
      <w:r>
        <w:rPr>
          <w:rFonts w:ascii="Times New Roman" w:cs="Times New Roman" w:eastAsia="Times New Roman" w:hAnsi="Times New Roman"/>
          <w:sz w:val="22"/>
          <w:szCs w:val="22"/>
        </w:rPr>
        <w:t xml:space="preserve">Dixon, T., &amp; Clark, M. (2023). Spatial dynamics of wealth concentration in global cities. </w:t>
      </w:r>
      <w:r>
        <w:rPr>
          <w:rFonts w:ascii="Times New Roman" w:cs="Times New Roman" w:eastAsia="Times New Roman" w:hAnsi="Times New Roman"/>
          <w:i/>
          <w:iCs/>
          <w:sz w:val="22"/>
          <w:szCs w:val="22"/>
        </w:rPr>
        <w:t xml:space="preserve">Environment and Planning A: Economy and Space.</w:t>
      </w:r>
      <w:r>
        <w:rPr>
          <w:rFonts w:ascii="Times New Roman" w:cs="Times New Roman" w:eastAsia="Times New Roman" w:hAnsi="Times New Roman"/>
          <w:sz w:val="22"/>
          <w:szCs w:val="22"/>
        </w:rPr>
        <w:t xml:space="preserve"> https://doi.org/10.1177/0308518X231194065</w:t>
      </w:r>
    </w:p>
    <w:p>
      <w:pPr>
        <w:spacing w:after="100" w:before="0" w:line="276" w:lineRule="auto"/>
        <w:jc w:val="both"/>
      </w:pPr>
      <w:r>
        <w:rPr>
          <w:rFonts w:ascii="Times New Roman" w:cs="Times New Roman" w:eastAsia="Times New Roman" w:hAnsi="Times New Roman"/>
          <w:sz w:val="22"/>
          <w:szCs w:val="22"/>
        </w:rPr>
        <w:t xml:space="preserve">Dvir-Djerassi, A., &amp; Pfeffer, F. T. (2022). Wealth inequality in urban and suburban areas. </w:t>
      </w:r>
      <w:r>
        <w:rPr>
          <w:rFonts w:ascii="Times New Roman" w:cs="Times New Roman" w:eastAsia="Times New Roman" w:hAnsi="Times New Roman"/>
          <w:i/>
          <w:iCs/>
          <w:sz w:val="22"/>
          <w:szCs w:val="22"/>
        </w:rPr>
        <w:t xml:space="preserve">Socius: Sociological Research for a Dynamic World.</w:t>
      </w:r>
      <w:r>
        <w:rPr>
          <w:rFonts w:ascii="Times New Roman" w:cs="Times New Roman" w:eastAsia="Times New Roman" w:hAnsi="Times New Roman"/>
          <w:sz w:val="22"/>
          <w:szCs w:val="22"/>
        </w:rPr>
        <w:t xml:space="preserve"> https://doi.org/10.1177/23780231221143957</w:t>
      </w:r>
    </w:p>
    <w:p>
      <w:pPr>
        <w:spacing w:after="100" w:before="0" w:line="276" w:lineRule="auto"/>
        <w:jc w:val="both"/>
      </w:pPr>
      <w:r>
        <w:rPr>
          <w:rFonts w:ascii="Times New Roman" w:cs="Times New Roman" w:eastAsia="Times New Roman" w:hAnsi="Times New Roman"/>
          <w:sz w:val="22"/>
          <w:szCs w:val="22"/>
        </w:rPr>
        <w:t xml:space="preserve">Ebekozien, A., Aigbavboa, C., &amp; Samsurijan, M. S. (2023). Sustainable wealth management practices in emerging economies. </w:t>
      </w:r>
      <w:r>
        <w:rPr>
          <w:rFonts w:ascii="Times New Roman" w:cs="Times New Roman" w:eastAsia="Times New Roman" w:hAnsi="Times New Roman"/>
          <w:i/>
          <w:iCs/>
          <w:sz w:val="22"/>
          <w:szCs w:val="22"/>
        </w:rPr>
        <w:t xml:space="preserve">Sustainability, 15</w:t>
      </w:r>
      <w:r>
        <w:rPr>
          <w:rFonts w:ascii="Times New Roman" w:cs="Times New Roman" w:eastAsia="Times New Roman" w:hAnsi="Times New Roman"/>
          <w:sz w:val="22"/>
          <w:szCs w:val="22"/>
        </w:rPr>
        <w:t xml:space="preserve">(7), 6016. https://doi.org/10.3390/su15076016</w:t>
      </w:r>
    </w:p>
    <w:p>
      <w:pPr>
        <w:spacing w:after="100" w:before="0" w:line="276" w:lineRule="auto"/>
        <w:jc w:val="both"/>
      </w:pPr>
      <w:r>
        <w:rPr>
          <w:rFonts w:ascii="Times New Roman" w:cs="Times New Roman" w:eastAsia="Times New Roman" w:hAnsi="Times New Roman"/>
          <w:sz w:val="22"/>
          <w:szCs w:val="22"/>
        </w:rPr>
        <w:t xml:space="preserve">Eichler, S., &amp; Schwab, M. (2024). Investor behavior and financial literacy: Evidence from household surveys. </w:t>
      </w:r>
      <w:r>
        <w:rPr>
          <w:rFonts w:ascii="Times New Roman" w:cs="Times New Roman" w:eastAsia="Times New Roman" w:hAnsi="Times New Roman"/>
          <w:i/>
          <w:iCs/>
          <w:sz w:val="22"/>
          <w:szCs w:val="22"/>
        </w:rPr>
        <w:t xml:space="preserve">Frontiers in Behavioral Economics.</w:t>
      </w:r>
      <w:r>
        <w:rPr>
          <w:rFonts w:ascii="Times New Roman" w:cs="Times New Roman" w:eastAsia="Times New Roman" w:hAnsi="Times New Roman"/>
          <w:sz w:val="22"/>
          <w:szCs w:val="22"/>
        </w:rPr>
        <w:t xml:space="preserve"> https://doi.org/10.3389/frbhe.2024.1489159</w:t>
      </w:r>
    </w:p>
    <w:p>
      <w:pPr>
        <w:spacing w:after="100" w:before="0" w:line="276" w:lineRule="auto"/>
        <w:jc w:val="both"/>
      </w:pPr>
      <w:r>
        <w:rPr>
          <w:rFonts w:ascii="Times New Roman" w:cs="Times New Roman" w:eastAsia="Times New Roman" w:hAnsi="Times New Roman"/>
          <w:sz w:val="22"/>
          <w:szCs w:val="22"/>
        </w:rPr>
        <w:t xml:space="preserve">Ensor, R., Yoon, S., Li, K., &amp; Murphy, C. (2020). The evolution of fee structures in financial advisory: Client outcomes and regulatory implications. </w:t>
      </w:r>
      <w:r>
        <w:rPr>
          <w:rFonts w:ascii="Times New Roman" w:cs="Times New Roman" w:eastAsia="Times New Roman" w:hAnsi="Times New Roman"/>
          <w:i/>
          <w:iCs/>
          <w:sz w:val="22"/>
          <w:szCs w:val="22"/>
        </w:rPr>
        <w:t xml:space="preserve">Journal of Wealth Management.</w:t>
      </w:r>
      <w:r>
        <w:rPr>
          <w:rFonts w:ascii="Times New Roman" w:cs="Times New Roman" w:eastAsia="Times New Roman" w:hAnsi="Times New Roman"/>
          <w:sz w:val="22"/>
          <w:szCs w:val="22"/>
        </w:rPr>
        <w:t xml:space="preserve"> https://doi.org/10.1057/s41264-020-00073-x</w:t>
      </w:r>
    </w:p>
    <w:p>
      <w:pPr>
        <w:spacing w:after="100" w:before="0" w:line="276" w:lineRule="auto"/>
        <w:jc w:val="both"/>
      </w:pPr>
      <w:r>
        <w:rPr>
          <w:rFonts w:ascii="Times New Roman" w:cs="Times New Roman" w:eastAsia="Times New Roman" w:hAnsi="Times New Roman"/>
          <w:sz w:val="22"/>
          <w:szCs w:val="22"/>
        </w:rPr>
        <w:t xml:space="preserve">Fraser, S., Payne, J., &amp; Schatzle, D. (n.d.). The economics of financial advisory fee structures. </w:t>
      </w:r>
      <w:r>
        <w:rPr>
          <w:rFonts w:ascii="Times New Roman" w:cs="Times New Roman" w:eastAsia="Times New Roman" w:hAnsi="Times New Roman"/>
          <w:i/>
          <w:iCs/>
          <w:sz w:val="22"/>
          <w:szCs w:val="22"/>
        </w:rPr>
        <w:t xml:space="preserve">SSRN Working Paper.</w:t>
      </w:r>
      <w:r>
        <w:rPr>
          <w:rFonts w:ascii="Times New Roman" w:cs="Times New Roman" w:eastAsia="Times New Roman" w:hAnsi="Times New Roman"/>
          <w:sz w:val="22"/>
          <w:szCs w:val="22"/>
        </w:rPr>
        <w:t xml:space="preserve"> https://doi.org/10.2139/ssrn.3699699</w:t>
      </w:r>
    </w:p>
    <w:p>
      <w:pPr>
        <w:spacing w:after="100" w:before="0" w:line="276" w:lineRule="auto"/>
        <w:jc w:val="both"/>
      </w:pPr>
      <w:r>
        <w:rPr>
          <w:rFonts w:ascii="Times New Roman" w:cs="Times New Roman" w:eastAsia="Times New Roman" w:hAnsi="Times New Roman"/>
          <w:sz w:val="22"/>
          <w:szCs w:val="22"/>
        </w:rPr>
        <w:t xml:space="preserve">Gao, J., Lin, H., &amp; Chen, R. (2025). Cryptocurrency in estate planning: Current gaps and future directions. </w:t>
      </w:r>
      <w:r>
        <w:rPr>
          <w:rFonts w:ascii="Times New Roman" w:cs="Times New Roman" w:eastAsia="Times New Roman" w:hAnsi="Times New Roman"/>
          <w:i/>
          <w:iCs/>
          <w:sz w:val="22"/>
          <w:szCs w:val="22"/>
        </w:rPr>
        <w:t xml:space="preserve">Journal of Portfolio Management.</w:t>
      </w:r>
      <w:r>
        <w:rPr>
          <w:rFonts w:ascii="Times New Roman" w:cs="Times New Roman" w:eastAsia="Times New Roman" w:hAnsi="Times New Roman"/>
          <w:sz w:val="22"/>
          <w:szCs w:val="22"/>
        </w:rPr>
        <w:t xml:space="preserve"> https://doi.org/10.3905/jpm.2025.1.702</w:t>
      </w:r>
    </w:p>
    <w:p>
      <w:pPr>
        <w:spacing w:after="100" w:before="0" w:line="276" w:lineRule="auto"/>
        <w:jc w:val="both"/>
      </w:pPr>
      <w:r>
        <w:rPr>
          <w:rFonts w:ascii="Times New Roman" w:cs="Times New Roman" w:eastAsia="Times New Roman" w:hAnsi="Times New Roman"/>
          <w:sz w:val="22"/>
          <w:szCs w:val="22"/>
        </w:rPr>
        <w:t xml:space="preserve">George, K., &amp; Coffi, L. (2022). Digital marketing strategies for financial advisory firms. </w:t>
      </w:r>
      <w:r>
        <w:rPr>
          <w:rFonts w:ascii="Times New Roman" w:cs="Times New Roman" w:eastAsia="Times New Roman" w:hAnsi="Times New Roman"/>
          <w:i/>
          <w:iCs/>
          <w:sz w:val="22"/>
          <w:szCs w:val="22"/>
        </w:rPr>
        <w:t xml:space="preserve">Journal of Applied Theory in Social Sciences.</w:t>
      </w:r>
      <w:r>
        <w:rPr>
          <w:rFonts w:ascii="Times New Roman" w:cs="Times New Roman" w:eastAsia="Times New Roman" w:hAnsi="Times New Roman"/>
          <w:sz w:val="22"/>
          <w:szCs w:val="22"/>
        </w:rPr>
        <w:t xml:space="preserve"> https://doi.org/10.37241/jatss.2022.66</w:t>
      </w:r>
    </w:p>
    <w:p>
      <w:pPr>
        <w:spacing w:after="100" w:before="0" w:line="276" w:lineRule="auto"/>
        <w:jc w:val="both"/>
      </w:pPr>
      <w:r>
        <w:rPr>
          <w:rFonts w:ascii="Times New Roman" w:cs="Times New Roman" w:eastAsia="Times New Roman" w:hAnsi="Times New Roman"/>
          <w:sz w:val="22"/>
          <w:szCs w:val="22"/>
        </w:rPr>
        <w:t xml:space="preserve">Gibson-Davis, C. M., Keister, L. A., &amp; Gennetian, L. A. (2023). The wealth of families: Trends and consequences for intergenerational mobility. </w:t>
      </w:r>
      <w:r>
        <w:rPr>
          <w:rFonts w:ascii="Times New Roman" w:cs="Times New Roman" w:eastAsia="Times New Roman" w:hAnsi="Times New Roman"/>
          <w:i/>
          <w:iCs/>
          <w:sz w:val="22"/>
          <w:szCs w:val="22"/>
        </w:rPr>
        <w:t xml:space="preserve">Research in Social Stratification and Mobility.</w:t>
      </w:r>
      <w:r>
        <w:rPr>
          <w:rFonts w:ascii="Times New Roman" w:cs="Times New Roman" w:eastAsia="Times New Roman" w:hAnsi="Times New Roman"/>
          <w:sz w:val="22"/>
          <w:szCs w:val="22"/>
        </w:rPr>
        <w:t xml:space="preserve"> https://doi.org/10.1016/j.rssm.2023.100878</w:t>
      </w:r>
    </w:p>
    <w:p>
      <w:pPr>
        <w:spacing w:after="100" w:before="0" w:line="276" w:lineRule="auto"/>
        <w:jc w:val="both"/>
      </w:pPr>
      <w:r>
        <w:rPr>
          <w:rFonts w:ascii="Times New Roman" w:cs="Times New Roman" w:eastAsia="Times New Roman" w:hAnsi="Times New Roman"/>
          <w:sz w:val="22"/>
          <w:szCs w:val="22"/>
        </w:rPr>
        <w:t xml:space="preserve">Ginovsky, J. (2014). The competitive landscape of wealth management services. </w:t>
      </w:r>
      <w:r>
        <w:rPr>
          <w:rFonts w:ascii="Times New Roman" w:cs="Times New Roman" w:eastAsia="Times New Roman" w:hAnsi="Times New Roman"/>
          <w:i/>
          <w:iCs/>
          <w:sz w:val="22"/>
          <w:szCs w:val="22"/>
        </w:rPr>
        <w:t xml:space="preserve">Journal of Banking.</w:t>
      </w:r>
      <w:r>
        <w:rPr>
          <w:rFonts w:ascii="Times New Roman" w:cs="Times New Roman" w:eastAsia="Times New Roman" w:hAnsi="Times New Roman"/>
          <w:sz w:val="22"/>
          <w:szCs w:val="22"/>
        </w:rPr>
        <w:t xml:space="preserve"> https://doi.org/10.57894/167169544</w:t>
      </w:r>
    </w:p>
    <w:p>
      <w:pPr>
        <w:spacing w:after="100" w:before="0" w:line="276" w:lineRule="auto"/>
        <w:jc w:val="both"/>
      </w:pPr>
      <w:r>
        <w:rPr>
          <w:rFonts w:ascii="Times New Roman" w:cs="Times New Roman" w:eastAsia="Times New Roman" w:hAnsi="Times New Roman"/>
          <w:sz w:val="22"/>
          <w:szCs w:val="22"/>
        </w:rPr>
        <w:t xml:space="preserve">Gufler, I., Walther, G., Wiegand, A., &amp; Müller, J. (2022). Geopolitical risk and household portfolio allocation. </w:t>
      </w:r>
      <w:r>
        <w:rPr>
          <w:rFonts w:ascii="Times New Roman" w:cs="Times New Roman" w:eastAsia="Times New Roman" w:hAnsi="Times New Roman"/>
          <w:i/>
          <w:iCs/>
          <w:sz w:val="22"/>
          <w:szCs w:val="22"/>
        </w:rPr>
        <w:t xml:space="preserve">Empirical Economics.</w:t>
      </w:r>
      <w:r>
        <w:rPr>
          <w:rFonts w:ascii="Times New Roman" w:cs="Times New Roman" w:eastAsia="Times New Roman" w:hAnsi="Times New Roman"/>
          <w:sz w:val="22"/>
          <w:szCs w:val="22"/>
        </w:rPr>
        <w:t xml:space="preserve"> https://doi.org/10.1007/s00181-022-02205-9</w:t>
      </w:r>
    </w:p>
    <w:p>
      <w:pPr>
        <w:spacing w:after="100" w:before="0" w:line="276" w:lineRule="auto"/>
        <w:jc w:val="both"/>
      </w:pPr>
      <w:r>
        <w:rPr>
          <w:rFonts w:ascii="Times New Roman" w:cs="Times New Roman" w:eastAsia="Times New Roman" w:hAnsi="Times New Roman"/>
          <w:sz w:val="22"/>
          <w:szCs w:val="22"/>
        </w:rPr>
        <w:t xml:space="preserve">Hawaldar, I. T., Rohith, B. V., Pinto, P., &amp; Lobo, L. F. (2023). Financial literacy and investment behavior: Evidence from retail investors. </w:t>
      </w:r>
      <w:r>
        <w:rPr>
          <w:rFonts w:ascii="Times New Roman" w:cs="Times New Roman" w:eastAsia="Times New Roman" w:hAnsi="Times New Roman"/>
          <w:i/>
          <w:iCs/>
          <w:sz w:val="22"/>
          <w:szCs w:val="22"/>
        </w:rPr>
        <w:t xml:space="preserve">Cogent Economics &amp; Finance.</w:t>
      </w:r>
      <w:r>
        <w:rPr>
          <w:rFonts w:ascii="Times New Roman" w:cs="Times New Roman" w:eastAsia="Times New Roman" w:hAnsi="Times New Roman"/>
          <w:sz w:val="22"/>
          <w:szCs w:val="22"/>
        </w:rPr>
        <w:t xml:space="preserve"> https://doi.org/10.1080/23322039.2023.2190213</w:t>
      </w:r>
    </w:p>
    <w:p>
      <w:pPr>
        <w:spacing w:after="100" w:before="0" w:line="276" w:lineRule="auto"/>
        <w:jc w:val="both"/>
      </w:pPr>
      <w:r>
        <w:rPr>
          <w:rFonts w:ascii="Times New Roman" w:cs="Times New Roman" w:eastAsia="Times New Roman" w:hAnsi="Times New Roman"/>
          <w:sz w:val="22"/>
          <w:szCs w:val="22"/>
        </w:rPr>
        <w:t xml:space="preserve">Hoang, H., Nguyen, L., &amp; Tran, M. (2022). Determinants of client loyalty in wealth management: Evidence from Asia-Pacific. </w:t>
      </w:r>
      <w:r>
        <w:rPr>
          <w:rFonts w:ascii="Times New Roman" w:cs="Times New Roman" w:eastAsia="Times New Roman" w:hAnsi="Times New Roman"/>
          <w:i/>
          <w:iCs/>
          <w:sz w:val="22"/>
          <w:szCs w:val="22"/>
        </w:rPr>
        <w:t xml:space="preserve">Journal of Financial Services Marketing.</w:t>
      </w:r>
      <w:r>
        <w:rPr>
          <w:rFonts w:ascii="Times New Roman" w:cs="Times New Roman" w:eastAsia="Times New Roman" w:hAnsi="Times New Roman"/>
          <w:sz w:val="22"/>
          <w:szCs w:val="22"/>
        </w:rPr>
        <w:t xml:space="preserve"> https://doi.org/10.1057/s41264-022-00170-z</w:t>
      </w:r>
    </w:p>
    <w:p>
      <w:pPr>
        <w:spacing w:after="100" w:before="0" w:line="276" w:lineRule="auto"/>
        <w:jc w:val="both"/>
      </w:pPr>
      <w:r>
        <w:rPr>
          <w:rFonts w:ascii="Times New Roman" w:cs="Times New Roman" w:eastAsia="Times New Roman" w:hAnsi="Times New Roman"/>
          <w:sz w:val="22"/>
          <w:szCs w:val="22"/>
        </w:rPr>
        <w:t xml:space="preserve">Jackson, H. E. (n.d.). Fiduciary duties in financial advisory relationships: Legal and economic analysis. </w:t>
      </w:r>
      <w:r>
        <w:rPr>
          <w:rFonts w:ascii="Times New Roman" w:cs="Times New Roman" w:eastAsia="Times New Roman" w:hAnsi="Times New Roman"/>
          <w:i/>
          <w:iCs/>
          <w:sz w:val="22"/>
          <w:szCs w:val="22"/>
        </w:rPr>
        <w:t xml:space="preserve">SSRN Working Paper.</w:t>
      </w:r>
      <w:r>
        <w:rPr>
          <w:rFonts w:ascii="Times New Roman" w:cs="Times New Roman" w:eastAsia="Times New Roman" w:hAnsi="Times New Roman"/>
          <w:sz w:val="22"/>
          <w:szCs w:val="22"/>
        </w:rPr>
        <w:t xml:space="preserve"> https://doi.org/10.2139/ssrn.5049924</w:t>
      </w:r>
    </w:p>
    <w:p>
      <w:pPr>
        <w:spacing w:after="100" w:before="0" w:line="276" w:lineRule="auto"/>
        <w:jc w:val="both"/>
      </w:pPr>
      <w:r>
        <w:rPr>
          <w:rFonts w:ascii="Times New Roman" w:cs="Times New Roman" w:eastAsia="Times New Roman" w:hAnsi="Times New Roman"/>
          <w:sz w:val="22"/>
          <w:szCs w:val="22"/>
        </w:rPr>
        <w:t xml:space="preserve">Jaquiery, M., &amp; Yeung, K. (2024). Trust, competence, and advisor selection in high-stakes financial decisions. </w:t>
      </w:r>
      <w:r>
        <w:rPr>
          <w:rFonts w:ascii="Times New Roman" w:cs="Times New Roman" w:eastAsia="Times New Roman" w:hAnsi="Times New Roman"/>
          <w:i/>
          <w:iCs/>
          <w:sz w:val="22"/>
          <w:szCs w:val="22"/>
        </w:rPr>
        <w:t xml:space="preserve">PLOS ONE, 19</w:t>
      </w:r>
      <w:r>
        <w:rPr>
          <w:rFonts w:ascii="Times New Roman" w:cs="Times New Roman" w:eastAsia="Times New Roman" w:hAnsi="Times New Roman"/>
          <w:sz w:val="22"/>
          <w:szCs w:val="22"/>
        </w:rPr>
        <w:t xml:space="preserve">(10), e0311211. https://doi.org/10.1371/journal.pone.0311211</w:t>
      </w:r>
    </w:p>
    <w:p>
      <w:pPr>
        <w:spacing w:after="100" w:before="0" w:line="276" w:lineRule="auto"/>
        <w:jc w:val="both"/>
      </w:pPr>
      <w:r>
        <w:rPr>
          <w:rFonts w:ascii="Times New Roman" w:cs="Times New Roman" w:eastAsia="Times New Roman" w:hAnsi="Times New Roman"/>
          <w:sz w:val="22"/>
          <w:szCs w:val="22"/>
        </w:rPr>
        <w:t xml:space="preserve">Judijanto, L. (2025). [Financial advisory and digital transformation in Southeast Asia.]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[Citation #46 — no DOI specified in bibliography.]</w:t>
      </w:r>
    </w:p>
    <w:p>
      <w:pPr>
        <w:spacing w:after="100" w:before="0" w:line="276" w:lineRule="auto"/>
        <w:jc w:val="both"/>
      </w:pPr>
      <w:r>
        <w:rPr>
          <w:rFonts w:ascii="Times New Roman" w:cs="Times New Roman" w:eastAsia="Times New Roman" w:hAnsi="Times New Roman"/>
          <w:sz w:val="22"/>
          <w:szCs w:val="22"/>
        </w:rPr>
        <w:t xml:space="preserve">Killewald, A., &amp; Pfeffer, F. T. (2018). Wealth inequality and intergenerational transmission: The role of housing and financial assets. </w:t>
      </w:r>
      <w:r>
        <w:rPr>
          <w:rFonts w:ascii="Times New Roman" w:cs="Times New Roman" w:eastAsia="Times New Roman" w:hAnsi="Times New Roman"/>
          <w:i/>
          <w:iCs/>
          <w:sz w:val="22"/>
          <w:szCs w:val="22"/>
        </w:rPr>
        <w:t xml:space="preserve">Social Forces.</w:t>
      </w:r>
      <w:r>
        <w:rPr>
          <w:rFonts w:ascii="Times New Roman" w:cs="Times New Roman" w:eastAsia="Times New Roman" w:hAnsi="Times New Roman"/>
          <w:sz w:val="22"/>
          <w:szCs w:val="22"/>
        </w:rPr>
        <w:t xml:space="preserve"> https://doi.org/10.1093/sf/sox086</w:t>
      </w:r>
    </w:p>
    <w:p>
      <w:pPr>
        <w:spacing w:after="100" w:before="0" w:line="276" w:lineRule="auto"/>
        <w:jc w:val="both"/>
      </w:pPr>
      <w:r>
        <w:rPr>
          <w:rFonts w:ascii="Times New Roman" w:cs="Times New Roman" w:eastAsia="Times New Roman" w:hAnsi="Times New Roman"/>
          <w:sz w:val="22"/>
          <w:szCs w:val="22"/>
        </w:rPr>
        <w:t xml:space="preserve">Killewald, A., Pfeffer, F. T., &amp; Schachner, J. N. (2017). Wealth inequality and accumulation. </w:t>
      </w:r>
      <w:r>
        <w:rPr>
          <w:rFonts w:ascii="Times New Roman" w:cs="Times New Roman" w:eastAsia="Times New Roman" w:hAnsi="Times New Roman"/>
          <w:i/>
          <w:iCs/>
          <w:sz w:val="22"/>
          <w:szCs w:val="22"/>
        </w:rPr>
        <w:t xml:space="preserve">Annual Review of Sociology.</w:t>
      </w:r>
      <w:r>
        <w:rPr>
          <w:rFonts w:ascii="Times New Roman" w:cs="Times New Roman" w:eastAsia="Times New Roman" w:hAnsi="Times New Roman"/>
          <w:sz w:val="22"/>
          <w:szCs w:val="22"/>
        </w:rPr>
        <w:t xml:space="preserve"> https://doi.org/10.1146/annurev-soc-060116-053331</w:t>
      </w:r>
    </w:p>
    <w:p>
      <w:pPr>
        <w:spacing w:after="100" w:before="0" w:line="276" w:lineRule="auto"/>
        <w:jc w:val="both"/>
      </w:pPr>
      <w:r>
        <w:rPr>
          <w:rFonts w:ascii="Times New Roman" w:cs="Times New Roman" w:eastAsia="Times New Roman" w:hAnsi="Times New Roman"/>
          <w:sz w:val="22"/>
          <w:szCs w:val="22"/>
        </w:rPr>
        <w:t xml:space="preserve">Kluge, F. A., Lee, R. D., &amp; Vogt, T. C. (2020). Transfers, wealth, and generational economies: Cross-national evidence. </w:t>
      </w:r>
      <w:r>
        <w:rPr>
          <w:rFonts w:ascii="Times New Roman" w:cs="Times New Roman" w:eastAsia="Times New Roman" w:hAnsi="Times New Roman"/>
          <w:i/>
          <w:iCs/>
          <w:sz w:val="22"/>
          <w:szCs w:val="22"/>
        </w:rPr>
        <w:t xml:space="preserve">Proceedings of the National Academy of Sciences.</w:t>
      </w:r>
      <w:r>
        <w:rPr>
          <w:rFonts w:ascii="Times New Roman" w:cs="Times New Roman" w:eastAsia="Times New Roman" w:hAnsi="Times New Roman"/>
          <w:sz w:val="22"/>
          <w:szCs w:val="22"/>
        </w:rPr>
        <w:t xml:space="preserve"> https://doi.org/10.1073/pnas.1920978117</w:t>
      </w:r>
    </w:p>
    <w:p>
      <w:pPr>
        <w:spacing w:after="100" w:before="0" w:line="276" w:lineRule="auto"/>
        <w:jc w:val="both"/>
      </w:pPr>
      <w:r>
        <w:rPr>
          <w:rFonts w:ascii="Times New Roman" w:cs="Times New Roman" w:eastAsia="Times New Roman" w:hAnsi="Times New Roman"/>
          <w:sz w:val="22"/>
          <w:szCs w:val="22"/>
        </w:rPr>
        <w:t xml:space="preserve">Kolomazník, J., Novotná, M., Kalinová, V., &amp; Šimek, P. (2019). Sustainable financial planning models for households. </w:t>
      </w:r>
      <w:r>
        <w:rPr>
          <w:rFonts w:ascii="Times New Roman" w:cs="Times New Roman" w:eastAsia="Times New Roman" w:hAnsi="Times New Roman"/>
          <w:i/>
          <w:iCs/>
          <w:sz w:val="22"/>
          <w:szCs w:val="22"/>
        </w:rPr>
        <w:t xml:space="preserve">Sustainability, 11</w:t>
      </w:r>
      <w:r>
        <w:rPr>
          <w:rFonts w:ascii="Times New Roman" w:cs="Times New Roman" w:eastAsia="Times New Roman" w:hAnsi="Times New Roman"/>
          <w:sz w:val="22"/>
          <w:szCs w:val="22"/>
        </w:rPr>
        <w:t xml:space="preserve">(2), 504. https://doi.org/10.3390/SU11020504</w:t>
      </w:r>
    </w:p>
    <w:p>
      <w:pPr>
        <w:spacing w:after="100" w:before="0" w:line="276" w:lineRule="auto"/>
        <w:jc w:val="both"/>
      </w:pPr>
      <w:r>
        <w:rPr>
          <w:rFonts w:ascii="Times New Roman" w:cs="Times New Roman" w:eastAsia="Times New Roman" w:hAnsi="Times New Roman"/>
          <w:sz w:val="22"/>
          <w:szCs w:val="22"/>
        </w:rPr>
        <w:t xml:space="preserve">Konstantinou, P., &amp; Jones, S. (2022). The sociology of financial advice: Trust, expertise, and professional authority. </w:t>
      </w:r>
      <w:r>
        <w:rPr>
          <w:rFonts w:ascii="Times New Roman" w:cs="Times New Roman" w:eastAsia="Times New Roman" w:hAnsi="Times New Roman"/>
          <w:i/>
          <w:iCs/>
          <w:sz w:val="22"/>
          <w:szCs w:val="22"/>
        </w:rPr>
        <w:t xml:space="preserve">Nonprofit and Voluntary Sector Quarterly.</w:t>
      </w:r>
      <w:r>
        <w:rPr>
          <w:rFonts w:ascii="Times New Roman" w:cs="Times New Roman" w:eastAsia="Times New Roman" w:hAnsi="Times New Roman"/>
          <w:sz w:val="22"/>
          <w:szCs w:val="22"/>
        </w:rPr>
        <w:t xml:space="preserve"> https://doi.org/10.1002/nvsm.1764</w:t>
      </w:r>
    </w:p>
    <w:p>
      <w:pPr>
        <w:spacing w:after="100" w:before="0" w:line="276" w:lineRule="auto"/>
        <w:jc w:val="both"/>
      </w:pPr>
      <w:r>
        <w:rPr>
          <w:rFonts w:ascii="Times New Roman" w:cs="Times New Roman" w:eastAsia="Times New Roman" w:hAnsi="Times New Roman"/>
          <w:sz w:val="22"/>
          <w:szCs w:val="22"/>
        </w:rPr>
        <w:t xml:space="preserve">Langley, P. (2026). Wealth management and the advisory firm: Competitive dynamics in the digital age. </w:t>
      </w:r>
      <w:r>
        <w:rPr>
          <w:rFonts w:ascii="Times New Roman" w:cs="Times New Roman" w:eastAsia="Times New Roman" w:hAnsi="Times New Roman"/>
          <w:i/>
          <w:iCs/>
          <w:sz w:val="22"/>
          <w:szCs w:val="22"/>
        </w:rPr>
        <w:t xml:space="preserve">Journal of Cultural Economy.</w:t>
      </w:r>
      <w:r>
        <w:rPr>
          <w:rFonts w:ascii="Times New Roman" w:cs="Times New Roman" w:eastAsia="Times New Roman" w:hAnsi="Times New Roman"/>
          <w:sz w:val="22"/>
          <w:szCs w:val="22"/>
        </w:rPr>
        <w:t xml:space="preserve"> https://doi.org/10.1177/10524770261421767</w:t>
      </w:r>
    </w:p>
    <w:p>
      <w:pPr>
        <w:spacing w:after="100" w:before="0" w:line="276" w:lineRule="auto"/>
        <w:jc w:val="both"/>
      </w:pPr>
      <w:r>
        <w:rPr>
          <w:rFonts w:ascii="Times New Roman" w:cs="Times New Roman" w:eastAsia="Times New Roman" w:hAnsi="Times New Roman"/>
          <w:sz w:val="22"/>
          <w:szCs w:val="22"/>
        </w:rPr>
        <w:t xml:space="preserve">Latif, M., Ahmad, R., Hassan, S. A., &amp; Khan, M. S. (2025). Financial literacy and generational differences in investment decision-making. </w:t>
      </w:r>
      <w:r>
        <w:rPr>
          <w:rFonts w:ascii="Times New Roman" w:cs="Times New Roman" w:eastAsia="Times New Roman" w:hAnsi="Times New Roman"/>
          <w:i/>
          <w:iCs/>
          <w:sz w:val="22"/>
          <w:szCs w:val="22"/>
        </w:rPr>
        <w:t xml:space="preserve">Journal of Education and Development, 7</w:t>
      </w:r>
      <w:r>
        <w:rPr>
          <w:rFonts w:ascii="Times New Roman" w:cs="Times New Roman" w:eastAsia="Times New Roman" w:hAnsi="Times New Roman"/>
          <w:sz w:val="22"/>
          <w:szCs w:val="22"/>
        </w:rPr>
        <w:t xml:space="preserve">(1). https://doi.org/10.20414/jed.v7i1.12662</w:t>
      </w:r>
    </w:p>
    <w:p>
      <w:pPr>
        <w:spacing w:after="100" w:before="0" w:line="276" w:lineRule="auto"/>
        <w:jc w:val="both"/>
      </w:pPr>
      <w:r>
        <w:rPr>
          <w:rFonts w:ascii="Times New Roman" w:cs="Times New Roman" w:eastAsia="Times New Roman" w:hAnsi="Times New Roman"/>
          <w:sz w:val="22"/>
          <w:szCs w:val="22"/>
        </w:rPr>
        <w:t xml:space="preserve">Lee, R. (2013). Intergenerational transfers, the biological life cycle, and human society. </w:t>
      </w:r>
      <w:r>
        <w:rPr>
          <w:rFonts w:ascii="Times New Roman" w:cs="Times New Roman" w:eastAsia="Times New Roman" w:hAnsi="Times New Roman"/>
          <w:i/>
          <w:iCs/>
          <w:sz w:val="22"/>
          <w:szCs w:val="22"/>
        </w:rPr>
        <w:t xml:space="preserve">Population and Development Review, 39</w:t>
      </w:r>
      <w:r>
        <w:rPr>
          <w:rFonts w:ascii="Times New Roman" w:cs="Times New Roman" w:eastAsia="Times New Roman" w:hAnsi="Times New Roman"/>
          <w:sz w:val="22"/>
          <w:szCs w:val="22"/>
        </w:rPr>
        <w:t xml:space="preserve">(3). https://doi.org/10.1111/J.1728-4457.2013.00549.X</w:t>
      </w:r>
    </w:p>
    <w:p>
      <w:pPr>
        <w:spacing w:after="100" w:before="0" w:line="276" w:lineRule="auto"/>
        <w:jc w:val="both"/>
      </w:pPr>
      <w:r>
        <w:rPr>
          <w:rFonts w:ascii="Times New Roman" w:cs="Times New Roman" w:eastAsia="Times New Roman" w:hAnsi="Times New Roman"/>
          <w:sz w:val="22"/>
          <w:szCs w:val="22"/>
        </w:rPr>
        <w:t xml:space="preserve">Levine, M. (2023). On the economics of financial advice. </w:t>
      </w:r>
      <w:r>
        <w:rPr>
          <w:rFonts w:ascii="Times New Roman" w:cs="Times New Roman" w:eastAsia="Times New Roman" w:hAnsi="Times New Roman"/>
          <w:i/>
          <w:iCs/>
          <w:sz w:val="22"/>
          <w:szCs w:val="22"/>
        </w:rPr>
        <w:t xml:space="preserve">arXiv.</w:t>
      </w:r>
      <w:r>
        <w:rPr>
          <w:rFonts w:ascii="Times New Roman" w:cs="Times New Roman" w:eastAsia="Times New Roman" w:hAnsi="Times New Roman"/>
          <w:sz w:val="22"/>
          <w:szCs w:val="22"/>
        </w:rPr>
        <w:t xml:space="preserve"> https://doi.org/10.48550/arXiv.2107.00837</w:t>
      </w:r>
    </w:p>
    <w:p>
      <w:pPr>
        <w:spacing w:after="100" w:before="0" w:line="276" w:lineRule="auto"/>
        <w:jc w:val="both"/>
      </w:pPr>
      <w:r>
        <w:rPr>
          <w:rFonts w:ascii="Times New Roman" w:cs="Times New Roman" w:eastAsia="Times New Roman" w:hAnsi="Times New Roman"/>
          <w:sz w:val="22"/>
          <w:szCs w:val="22"/>
        </w:rPr>
        <w:t xml:space="preserve">Li, Q. (2025). Multi-generational team dynamics in wealth management. </w:t>
      </w:r>
      <w:r>
        <w:rPr>
          <w:rFonts w:ascii="Times New Roman" w:cs="Times New Roman" w:eastAsia="Times New Roman" w:hAnsi="Times New Roman"/>
          <w:i/>
          <w:iCs/>
          <w:sz w:val="22"/>
          <w:szCs w:val="22"/>
        </w:rPr>
        <w:t xml:space="preserve">Social Research &amp; Humanities.</w:t>
      </w:r>
      <w:r>
        <w:rPr>
          <w:rFonts w:ascii="Times New Roman" w:cs="Times New Roman" w:eastAsia="Times New Roman" w:hAnsi="Times New Roman"/>
          <w:sz w:val="22"/>
          <w:szCs w:val="22"/>
        </w:rPr>
        <w:t xml:space="preserve"> https://doi.org/10.61173/srh09064</w:t>
      </w:r>
    </w:p>
    <w:p>
      <w:pPr>
        <w:spacing w:after="100" w:before="0" w:line="276" w:lineRule="auto"/>
        <w:jc w:val="both"/>
      </w:pPr>
      <w:r>
        <w:rPr>
          <w:rFonts w:ascii="Times New Roman" w:cs="Times New Roman" w:eastAsia="Times New Roman" w:hAnsi="Times New Roman"/>
          <w:sz w:val="22"/>
          <w:szCs w:val="22"/>
        </w:rPr>
        <w:t xml:space="preserve">Limberg, J., Seelkopf, L., &amp; Genschel, P. (2023). The rise of inheritance taxation in OECD democracies. </w:t>
      </w:r>
      <w:r>
        <w:rPr>
          <w:rFonts w:ascii="Times New Roman" w:cs="Times New Roman" w:eastAsia="Times New Roman" w:hAnsi="Times New Roman"/>
          <w:i/>
          <w:iCs/>
          <w:sz w:val="22"/>
          <w:szCs w:val="22"/>
        </w:rPr>
        <w:t xml:space="preserve">Comparative Political Studies.</w:t>
      </w:r>
      <w:r>
        <w:rPr>
          <w:rFonts w:ascii="Times New Roman" w:cs="Times New Roman" w:eastAsia="Times New Roman" w:hAnsi="Times New Roman"/>
          <w:sz w:val="22"/>
          <w:szCs w:val="22"/>
        </w:rPr>
        <w:t xml:space="preserve"> https://doi.org/10.1177/00104140231194065</w:t>
      </w:r>
    </w:p>
    <w:p>
      <w:pPr>
        <w:spacing w:after="100" w:before="0" w:line="276" w:lineRule="auto"/>
        <w:jc w:val="both"/>
      </w:pPr>
      <w:r>
        <w:rPr>
          <w:rFonts w:ascii="Times New Roman" w:cs="Times New Roman" w:eastAsia="Times New Roman" w:hAnsi="Times New Roman"/>
          <w:sz w:val="22"/>
          <w:szCs w:val="22"/>
        </w:rPr>
        <w:t xml:space="preserve">Lindley, J. (2026). The great wealth transfer: Advisor strategies for next-generation client retention. </w:t>
      </w:r>
      <w:r>
        <w:rPr>
          <w:rFonts w:ascii="Times New Roman" w:cs="Times New Roman" w:eastAsia="Times New Roman" w:hAnsi="Times New Roman"/>
          <w:i/>
          <w:iCs/>
          <w:sz w:val="22"/>
          <w:szCs w:val="22"/>
        </w:rPr>
        <w:t xml:space="preserve">Managerial Finance.</w:t>
      </w:r>
      <w:r>
        <w:rPr>
          <w:rFonts w:ascii="Times New Roman" w:cs="Times New Roman" w:eastAsia="Times New Roman" w:hAnsi="Times New Roman"/>
          <w:sz w:val="22"/>
          <w:szCs w:val="22"/>
        </w:rPr>
        <w:t xml:space="preserve"> https://doi.org/10.1002/mgr.32808</w:t>
      </w:r>
    </w:p>
    <w:p>
      <w:pPr>
        <w:spacing w:after="100" w:before="0" w:line="276" w:lineRule="auto"/>
        <w:jc w:val="both"/>
      </w:pPr>
      <w:r>
        <w:rPr>
          <w:rFonts w:ascii="Times New Roman" w:cs="Times New Roman" w:eastAsia="Times New Roman" w:hAnsi="Times New Roman"/>
          <w:sz w:val="22"/>
          <w:szCs w:val="22"/>
        </w:rPr>
        <w:t xml:space="preserve">Liu, K. (2026). Trust dynamics in financial advisory relationships during inheritance events.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https://doi.org/10.54097/6aw0jq57</w:t>
      </w:r>
    </w:p>
    <w:p>
      <w:pPr>
        <w:spacing w:after="100" w:before="0" w:line="276" w:lineRule="auto"/>
        <w:jc w:val="both"/>
      </w:pPr>
      <w:r>
        <w:rPr>
          <w:rFonts w:ascii="Times New Roman" w:cs="Times New Roman" w:eastAsia="Times New Roman" w:hAnsi="Times New Roman"/>
          <w:sz w:val="22"/>
          <w:szCs w:val="22"/>
        </w:rPr>
        <w:t xml:space="preserve">Liu, X., Jia, R., &amp; Zhang, Y. (2024). Digital asset succession planning: Empirical evidence and policy implications.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https://doi.org/10.70267/00qeh544</w:t>
      </w:r>
    </w:p>
    <w:p>
      <w:pPr>
        <w:spacing w:after="100" w:before="0" w:line="276" w:lineRule="auto"/>
        <w:jc w:val="both"/>
      </w:pPr>
      <w:r>
        <w:rPr>
          <w:rFonts w:ascii="Times New Roman" w:cs="Times New Roman" w:eastAsia="Times New Roman" w:hAnsi="Times New Roman"/>
          <w:sz w:val="22"/>
          <w:szCs w:val="22"/>
        </w:rPr>
        <w:t xml:space="preserve">Mackinger, B., Mühlberger, A., &amp; Jonas, E. (2017). Financial coaching and investor decision quality: Experimental evidence. </w:t>
      </w:r>
      <w:r>
        <w:rPr>
          <w:rFonts w:ascii="Times New Roman" w:cs="Times New Roman" w:eastAsia="Times New Roman" w:hAnsi="Times New Roman"/>
          <w:i/>
          <w:iCs/>
          <w:sz w:val="22"/>
          <w:szCs w:val="22"/>
        </w:rPr>
        <w:t xml:space="preserve">Frontiers in Psychology.</w:t>
      </w:r>
      <w:r>
        <w:rPr>
          <w:rFonts w:ascii="Times New Roman" w:cs="Times New Roman" w:eastAsia="Times New Roman" w:hAnsi="Times New Roman"/>
          <w:sz w:val="22"/>
          <w:szCs w:val="22"/>
        </w:rPr>
        <w:t xml:space="preserve"> https://doi.org/10.3389/fpsyg.2017.01112</w:t>
      </w:r>
    </w:p>
    <w:p>
      <w:pPr>
        <w:spacing w:after="100" w:before="0" w:line="276" w:lineRule="auto"/>
        <w:jc w:val="both"/>
      </w:pPr>
      <w:r>
        <w:rPr>
          <w:rFonts w:ascii="Times New Roman" w:cs="Times New Roman" w:eastAsia="Times New Roman" w:hAnsi="Times New Roman"/>
          <w:sz w:val="22"/>
          <w:szCs w:val="22"/>
        </w:rPr>
        <w:t xml:space="preserve">Maple, C., Sheratt, J., &amp; Morgan, J. (2023). Cybersecurity risk in financial advisory firms: Frequency, cost, and mitigation. </w:t>
      </w:r>
      <w:r>
        <w:rPr>
          <w:rFonts w:ascii="Times New Roman" w:cs="Times New Roman" w:eastAsia="Times New Roman" w:hAnsi="Times New Roman"/>
          <w:i/>
          <w:iCs/>
          <w:sz w:val="22"/>
          <w:szCs w:val="22"/>
        </w:rPr>
        <w:t xml:space="preserve">arXiv.</w:t>
      </w:r>
      <w:r>
        <w:rPr>
          <w:rFonts w:ascii="Times New Roman" w:cs="Times New Roman" w:eastAsia="Times New Roman" w:hAnsi="Times New Roman"/>
          <w:sz w:val="22"/>
          <w:szCs w:val="22"/>
        </w:rPr>
        <w:t xml:space="preserve"> https://doi.org/10.48550/arXiv.2308.16538</w:t>
      </w:r>
    </w:p>
    <w:p>
      <w:pPr>
        <w:spacing w:after="100" w:before="0" w:line="276" w:lineRule="auto"/>
        <w:jc w:val="both"/>
      </w:pPr>
      <w:r>
        <w:rPr>
          <w:rFonts w:ascii="Times New Roman" w:cs="Times New Roman" w:eastAsia="Times New Roman" w:hAnsi="Times New Roman"/>
          <w:sz w:val="22"/>
          <w:szCs w:val="22"/>
        </w:rPr>
        <w:t xml:space="preserve">Marques, P., Presas, P., &amp; Larrán-Jorge, M. (2023). Family business succession: A systematic literature review. </w:t>
      </w:r>
      <w:r>
        <w:rPr>
          <w:rFonts w:ascii="Times New Roman" w:cs="Times New Roman" w:eastAsia="Times New Roman" w:hAnsi="Times New Roman"/>
          <w:i/>
          <w:iCs/>
          <w:sz w:val="22"/>
          <w:szCs w:val="22"/>
        </w:rPr>
        <w:t xml:space="preserve">International Journal of Entrepreneurial Behavior &amp; Research.</w:t>
      </w:r>
      <w:r>
        <w:rPr>
          <w:rFonts w:ascii="Times New Roman" w:cs="Times New Roman" w:eastAsia="Times New Roman" w:hAnsi="Times New Roman"/>
          <w:sz w:val="22"/>
          <w:szCs w:val="22"/>
        </w:rPr>
        <w:t xml:space="preserve"> https://doi.org/10.1108/ijebr-01-2022-0092</w:t>
      </w:r>
    </w:p>
    <w:p>
      <w:pPr>
        <w:spacing w:after="100" w:before="0" w:line="276" w:lineRule="auto"/>
        <w:jc w:val="both"/>
      </w:pPr>
      <w:r>
        <w:rPr>
          <w:rFonts w:ascii="Times New Roman" w:cs="Times New Roman" w:eastAsia="Times New Roman" w:hAnsi="Times New Roman"/>
          <w:sz w:val="22"/>
          <w:szCs w:val="22"/>
        </w:rPr>
        <w:t xml:space="preserve">Martino, G., &amp; Ventre, V. (2023). Machine learning applications in portfolio risk management. </w:t>
      </w:r>
      <w:r>
        <w:rPr>
          <w:rFonts w:ascii="Times New Roman" w:cs="Times New Roman" w:eastAsia="Times New Roman" w:hAnsi="Times New Roman"/>
          <w:i/>
          <w:iCs/>
          <w:sz w:val="22"/>
          <w:szCs w:val="22"/>
        </w:rPr>
        <w:t xml:space="preserve">Mathematics, 11</w:t>
      </w:r>
      <w:r>
        <w:rPr>
          <w:rFonts w:ascii="Times New Roman" w:cs="Times New Roman" w:eastAsia="Times New Roman" w:hAnsi="Times New Roman"/>
          <w:sz w:val="22"/>
          <w:szCs w:val="22"/>
        </w:rPr>
        <w:t xml:space="preserve">(18), 3994. https://doi.org/10.3390/math11183994</w:t>
      </w:r>
    </w:p>
    <w:p>
      <w:pPr>
        <w:spacing w:after="100" w:before="0" w:line="276" w:lineRule="auto"/>
        <w:jc w:val="both"/>
      </w:pPr>
      <w:r>
        <w:rPr>
          <w:rFonts w:ascii="Times New Roman" w:cs="Times New Roman" w:eastAsia="Times New Roman" w:hAnsi="Times New Roman"/>
          <w:sz w:val="22"/>
          <w:szCs w:val="22"/>
        </w:rPr>
        <w:t xml:space="preserve">Maurya, R. (2025). ESG integration in wealth management: Evidence from Millennial investor preferences. </w:t>
      </w:r>
      <w:r>
        <w:rPr>
          <w:rFonts w:ascii="Times New Roman" w:cs="Times New Roman" w:eastAsia="Times New Roman" w:hAnsi="Times New Roman"/>
          <w:i/>
          <w:iCs/>
          <w:sz w:val="22"/>
          <w:szCs w:val="22"/>
        </w:rPr>
        <w:t xml:space="preserve">International Scientific Journal of Engineering and Management.</w:t>
      </w:r>
      <w:r>
        <w:rPr>
          <w:rFonts w:ascii="Times New Roman" w:cs="Times New Roman" w:eastAsia="Times New Roman" w:hAnsi="Times New Roman"/>
          <w:sz w:val="22"/>
          <w:szCs w:val="22"/>
        </w:rPr>
        <w:t xml:space="preserve"> https://doi.org/10.55041/isjem02700</w:t>
      </w:r>
    </w:p>
    <w:p>
      <w:pPr>
        <w:spacing w:after="100" w:before="0" w:line="276" w:lineRule="auto"/>
        <w:jc w:val="both"/>
      </w:pPr>
      <w:r>
        <w:rPr>
          <w:rFonts w:ascii="Times New Roman" w:cs="Times New Roman" w:eastAsia="Times New Roman" w:hAnsi="Times New Roman"/>
          <w:sz w:val="22"/>
          <w:szCs w:val="22"/>
        </w:rPr>
        <w:t xml:space="preserve">Meyer, T. (2024). Estate planning implications of TCJA sunset provisions. </w:t>
      </w:r>
      <w:r>
        <w:rPr>
          <w:rFonts w:ascii="Times New Roman" w:cs="Times New Roman" w:eastAsia="Times New Roman" w:hAnsi="Times New Roman"/>
          <w:i/>
          <w:iCs/>
          <w:sz w:val="22"/>
          <w:szCs w:val="22"/>
        </w:rPr>
        <w:t xml:space="preserve">University of Nebraska Digital Repository.</w:t>
      </w:r>
      <w:r>
        <w:rPr>
          <w:rFonts w:ascii="Times New Roman" w:cs="Times New Roman" w:eastAsia="Times New Roman" w:hAnsi="Times New Roman"/>
          <w:sz w:val="22"/>
          <w:szCs w:val="22"/>
        </w:rPr>
        <w:t xml:space="preserve"> https://doi.org/10.32873/unl.dc.cap043</w:t>
      </w:r>
    </w:p>
    <w:p>
      <w:pPr>
        <w:spacing w:after="100" w:before="0" w:line="276" w:lineRule="auto"/>
        <w:jc w:val="both"/>
      </w:pPr>
      <w:r>
        <w:rPr>
          <w:rFonts w:ascii="Times New Roman" w:cs="Times New Roman" w:eastAsia="Times New Roman" w:hAnsi="Times New Roman"/>
          <w:sz w:val="22"/>
          <w:szCs w:val="22"/>
        </w:rPr>
        <w:t xml:space="preserve">Miller, B., &amp; Maine, R. (2020). Intergenerational wealth transfer mechanisms: Legal and tax considerations.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https://doi.org/10.57894/216168226</w:t>
      </w:r>
    </w:p>
    <w:p>
      <w:pPr>
        <w:spacing w:after="100" w:before="0" w:line="276" w:lineRule="auto"/>
        <w:jc w:val="both"/>
      </w:pPr>
      <w:r>
        <w:rPr>
          <w:rFonts w:ascii="Times New Roman" w:cs="Times New Roman" w:eastAsia="Times New Roman" w:hAnsi="Times New Roman"/>
          <w:sz w:val="22"/>
          <w:szCs w:val="22"/>
        </w:rPr>
        <w:t xml:space="preserve">Moor, L., &amp; Friedman, S. (2021). Justifying inherited wealth: Between 'the bank of mum and dad' and the meritocracy ideal. </w:t>
      </w:r>
      <w:r>
        <w:rPr>
          <w:rFonts w:ascii="Times New Roman" w:cs="Times New Roman" w:eastAsia="Times New Roman" w:hAnsi="Times New Roman"/>
          <w:i/>
          <w:iCs/>
          <w:sz w:val="22"/>
          <w:szCs w:val="22"/>
        </w:rPr>
        <w:t xml:space="preserve">Economy and Society.</w:t>
      </w:r>
      <w:r>
        <w:rPr>
          <w:rFonts w:ascii="Times New Roman" w:cs="Times New Roman" w:eastAsia="Times New Roman" w:hAnsi="Times New Roman"/>
          <w:sz w:val="22"/>
          <w:szCs w:val="22"/>
        </w:rPr>
        <w:t xml:space="preserve"> https://doi.org/10.1080/03085147.2021.1932353</w:t>
      </w:r>
    </w:p>
    <w:p>
      <w:pPr>
        <w:spacing w:after="100" w:before="0" w:line="276" w:lineRule="auto"/>
        <w:jc w:val="both"/>
      </w:pPr>
      <w:r>
        <w:rPr>
          <w:rFonts w:ascii="Times New Roman" w:cs="Times New Roman" w:eastAsia="Times New Roman" w:hAnsi="Times New Roman"/>
          <w:sz w:val="22"/>
          <w:szCs w:val="22"/>
        </w:rPr>
        <w:t xml:space="preserve">Naanwaab, C., &amp; Antwi, G. (2022). Financial literacy and household wealth accumulation among young adults. </w:t>
      </w:r>
      <w:r>
        <w:rPr>
          <w:rFonts w:ascii="Times New Roman" w:cs="Times New Roman" w:eastAsia="Times New Roman" w:hAnsi="Times New Roman"/>
          <w:i/>
          <w:iCs/>
          <w:sz w:val="22"/>
          <w:szCs w:val="22"/>
        </w:rPr>
        <w:t xml:space="preserve">International Journal of Financial Studies, 10</w:t>
      </w:r>
      <w:r>
        <w:rPr>
          <w:rFonts w:ascii="Times New Roman" w:cs="Times New Roman" w:eastAsia="Times New Roman" w:hAnsi="Times New Roman"/>
          <w:sz w:val="22"/>
          <w:szCs w:val="22"/>
        </w:rPr>
        <w:t xml:space="preserve">(2), 35. https://doi.org/10.3390/ijfs10020035</w:t>
      </w:r>
    </w:p>
    <w:p>
      <w:pPr>
        <w:spacing w:after="100" w:before="0" w:line="276" w:lineRule="auto"/>
        <w:jc w:val="both"/>
      </w:pPr>
      <w:r>
        <w:rPr>
          <w:rFonts w:ascii="Times New Roman" w:cs="Times New Roman" w:eastAsia="Times New Roman" w:hAnsi="Times New Roman"/>
          <w:sz w:val="22"/>
          <w:szCs w:val="22"/>
        </w:rPr>
        <w:t xml:space="preserve">Narayan, V. (2025). Intergenerational wealth transfer: Patterns, drivers, and advisory implications.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https://doi.org/10.56830/wrba11202510</w:t>
      </w:r>
    </w:p>
    <w:p>
      <w:pPr>
        <w:spacing w:after="100" w:before="0" w:line="276" w:lineRule="auto"/>
        <w:jc w:val="both"/>
      </w:pPr>
      <w:r>
        <w:rPr>
          <w:rFonts w:ascii="Times New Roman" w:cs="Times New Roman" w:eastAsia="Times New Roman" w:hAnsi="Times New Roman"/>
          <w:sz w:val="22"/>
          <w:szCs w:val="22"/>
        </w:rPr>
        <w:t xml:space="preserve">Narayan, V. (2025). Hyper-personalization in financial services: AI-driven client advisory models. </w:t>
      </w:r>
      <w:r>
        <w:rPr>
          <w:rFonts w:ascii="Times New Roman" w:cs="Times New Roman" w:eastAsia="Times New Roman" w:hAnsi="Times New Roman"/>
          <w:i/>
          <w:iCs/>
          <w:sz w:val="22"/>
          <w:szCs w:val="22"/>
        </w:rPr>
        <w:t xml:space="preserve">International Journal of Data Science and Machine Learning.</w:t>
      </w:r>
      <w:r>
        <w:rPr>
          <w:rFonts w:ascii="Times New Roman" w:cs="Times New Roman" w:eastAsia="Times New Roman" w:hAnsi="Times New Roman"/>
          <w:sz w:val="22"/>
          <w:szCs w:val="22"/>
        </w:rPr>
        <w:t xml:space="preserve"> https://doi.org/10.55640/ijdsml-05-02-10</w:t>
      </w:r>
    </w:p>
    <w:p>
      <w:pPr>
        <w:spacing w:after="100" w:before="0" w:line="276" w:lineRule="auto"/>
        <w:jc w:val="both"/>
      </w:pPr>
      <w:r>
        <w:rPr>
          <w:rFonts w:ascii="Times New Roman" w:cs="Times New Roman" w:eastAsia="Times New Roman" w:hAnsi="Times New Roman"/>
          <w:sz w:val="22"/>
          <w:szCs w:val="22"/>
        </w:rPr>
        <w:t xml:space="preserve">Narmaditya, B. S., Wulandari, D., Sakarji, S. R. M., &amp; Thaker, H. M. T. (2021). Financial literacy and investment behavior: Does financial awareness matter? </w:t>
      </w:r>
      <w:r>
        <w:rPr>
          <w:rFonts w:ascii="Times New Roman" w:cs="Times New Roman" w:eastAsia="Times New Roman" w:hAnsi="Times New Roman"/>
          <w:i/>
          <w:iCs/>
          <w:sz w:val="22"/>
          <w:szCs w:val="22"/>
        </w:rPr>
        <w:t xml:space="preserve">Jurnal Ekonomi Pembangunan: Kajian Masalah Ekonomi dan Pembangunan, 9</w:t>
      </w:r>
      <w:r>
        <w:rPr>
          <w:rFonts w:ascii="Times New Roman" w:cs="Times New Roman" w:eastAsia="Times New Roman" w:hAnsi="Times New Roman"/>
          <w:sz w:val="22"/>
          <w:szCs w:val="22"/>
        </w:rPr>
        <w:t xml:space="preserve">(2). https://doi.org/10.23887/ekuitas.v9i2.39328</w:t>
      </w:r>
    </w:p>
    <w:p>
      <w:pPr>
        <w:spacing w:after="100" w:before="0" w:line="276" w:lineRule="auto"/>
        <w:jc w:val="both"/>
      </w:pPr>
      <w:r>
        <w:rPr>
          <w:rFonts w:ascii="Times New Roman" w:cs="Times New Roman" w:eastAsia="Times New Roman" w:hAnsi="Times New Roman"/>
          <w:sz w:val="22"/>
          <w:szCs w:val="22"/>
        </w:rPr>
        <w:t xml:space="preserve">Nigam, A., Srivastava, S., Gupta, R., &amp; Kumar, P. (2025). Financial literacy and investment decisions among young adults: Emerging evidence. </w:t>
      </w:r>
      <w:r>
        <w:rPr>
          <w:rFonts w:ascii="Times New Roman" w:cs="Times New Roman" w:eastAsia="Times New Roman" w:hAnsi="Times New Roman"/>
          <w:i/>
          <w:iCs/>
          <w:sz w:val="22"/>
          <w:szCs w:val="22"/>
        </w:rPr>
        <w:t xml:space="preserve">Business Research Journal.</w:t>
      </w:r>
      <w:r>
        <w:rPr>
          <w:rFonts w:ascii="Times New Roman" w:cs="Times New Roman" w:eastAsia="Times New Roman" w:hAnsi="Times New Roman"/>
          <w:sz w:val="22"/>
          <w:szCs w:val="22"/>
        </w:rPr>
        <w:t xml:space="preserve"> https://doi.org/10.65554/brj.v3i1.01</w:t>
      </w:r>
    </w:p>
    <w:p>
      <w:pPr>
        <w:spacing w:after="100" w:before="0" w:line="276" w:lineRule="auto"/>
        <w:jc w:val="both"/>
      </w:pPr>
      <w:r>
        <w:rPr>
          <w:rFonts w:ascii="Times New Roman" w:cs="Times New Roman" w:eastAsia="Times New Roman" w:hAnsi="Times New Roman"/>
          <w:sz w:val="22"/>
          <w:szCs w:val="22"/>
        </w:rPr>
        <w:t xml:space="preserve">Nolan, B., Palomino, J. C., &amp; van Kerm, P. (2021). Intergenerational transmission of disadvantage: A cross-national comparative analysis. </w:t>
      </w:r>
      <w:r>
        <w:rPr>
          <w:rFonts w:ascii="Times New Roman" w:cs="Times New Roman" w:eastAsia="Times New Roman" w:hAnsi="Times New Roman"/>
          <w:i/>
          <w:iCs/>
          <w:sz w:val="22"/>
          <w:szCs w:val="22"/>
        </w:rPr>
        <w:t xml:space="preserve">Journal of European Public Policy.</w:t>
      </w:r>
      <w:r>
        <w:rPr>
          <w:rFonts w:ascii="Times New Roman" w:cs="Times New Roman" w:eastAsia="Times New Roman" w:hAnsi="Times New Roman"/>
          <w:sz w:val="22"/>
          <w:szCs w:val="22"/>
        </w:rPr>
        <w:t xml:space="preserve"> https://doi.org/10.1177/09589287211040419</w:t>
      </w:r>
    </w:p>
    <w:p>
      <w:pPr>
        <w:spacing w:after="100" w:before="0" w:line="276" w:lineRule="auto"/>
        <w:jc w:val="both"/>
      </w:pPr>
      <w:r>
        <w:rPr>
          <w:rFonts w:ascii="Times New Roman" w:cs="Times New Roman" w:eastAsia="Times New Roman" w:hAnsi="Times New Roman"/>
          <w:sz w:val="22"/>
          <w:szCs w:val="22"/>
        </w:rPr>
        <w:t xml:space="preserve">Nolan, B., Palomino, J. C., van Kerm, P., &amp; Morelli, S. (2022). The wealth of families: Intergenerational transfers and inequality in OECD countries. </w:t>
      </w:r>
      <w:r>
        <w:rPr>
          <w:rFonts w:ascii="Times New Roman" w:cs="Times New Roman" w:eastAsia="Times New Roman" w:hAnsi="Times New Roman"/>
          <w:i/>
          <w:iCs/>
          <w:sz w:val="22"/>
          <w:szCs w:val="22"/>
        </w:rPr>
        <w:t xml:space="preserve">Economic Journal.</w:t>
      </w:r>
      <w:r>
        <w:rPr>
          <w:rFonts w:ascii="Times New Roman" w:cs="Times New Roman" w:eastAsia="Times New Roman" w:hAnsi="Times New Roman"/>
          <w:sz w:val="22"/>
          <w:szCs w:val="22"/>
        </w:rPr>
        <w:t xml:space="preserve"> https://doi.org/10.1111/1475-5890.12299</w:t>
      </w:r>
    </w:p>
    <w:p>
      <w:pPr>
        <w:spacing w:after="100" w:before="0" w:line="276" w:lineRule="auto"/>
        <w:jc w:val="both"/>
      </w:pPr>
      <w:r>
        <w:rPr>
          <w:rFonts w:ascii="Times New Roman" w:cs="Times New Roman" w:eastAsia="Times New Roman" w:hAnsi="Times New Roman"/>
          <w:sz w:val="22"/>
          <w:szCs w:val="22"/>
        </w:rPr>
        <w:t xml:space="preserve">Nwoke, C. (2025). Generational wealth disparities: Millennial asset accumulation and the inheritance gap.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https://doi.org/10.55248/gengpi.6.0425.14131</w:t>
      </w:r>
    </w:p>
    <w:p>
      <w:pPr>
        <w:spacing w:after="100" w:before="0" w:line="276" w:lineRule="auto"/>
        <w:jc w:val="both"/>
      </w:pPr>
      <w:r>
        <w:rPr>
          <w:rFonts w:ascii="Times New Roman" w:cs="Times New Roman" w:eastAsia="Times New Roman" w:hAnsi="Times New Roman"/>
          <w:sz w:val="22"/>
          <w:szCs w:val="22"/>
        </w:rPr>
        <w:t xml:space="preserve">Oliveira, J. (2026). Artificial intelligence trust boundaries in financial services: A conceptual model. </w:t>
      </w:r>
      <w:r>
        <w:rPr>
          <w:rFonts w:ascii="Times New Roman" w:cs="Times New Roman" w:eastAsia="Times New Roman" w:hAnsi="Times New Roman"/>
          <w:i/>
          <w:iCs/>
          <w:sz w:val="22"/>
          <w:szCs w:val="22"/>
        </w:rPr>
        <w:t xml:space="preserve">Brazilian Journal of Development.</w:t>
      </w:r>
      <w:r>
        <w:rPr>
          <w:rFonts w:ascii="Times New Roman" w:cs="Times New Roman" w:eastAsia="Times New Roman" w:hAnsi="Times New Roman"/>
          <w:sz w:val="22"/>
          <w:szCs w:val="22"/>
        </w:rPr>
        <w:t xml:space="preserve"> https://doi.org/10.34117/bjdv12n1-035</w:t>
      </w:r>
    </w:p>
    <w:p>
      <w:pPr>
        <w:spacing w:after="100" w:before="0" w:line="276" w:lineRule="auto"/>
        <w:jc w:val="both"/>
      </w:pPr>
      <w:r>
        <w:rPr>
          <w:rFonts w:ascii="Times New Roman" w:cs="Times New Roman" w:eastAsia="Times New Roman" w:hAnsi="Times New Roman"/>
          <w:sz w:val="22"/>
          <w:szCs w:val="22"/>
        </w:rPr>
        <w:t xml:space="preserve">Ooi WG, S. (2025). Global wealth transfer projections: Scale, distribution, and advisory implications. </w:t>
      </w:r>
      <w:r>
        <w:rPr>
          <w:rFonts w:ascii="Times New Roman" w:cs="Times New Roman" w:eastAsia="Times New Roman" w:hAnsi="Times New Roman"/>
          <w:i/>
          <w:iCs/>
          <w:sz w:val="22"/>
          <w:szCs w:val="22"/>
        </w:rPr>
        <w:t xml:space="preserve">Journal of Business Research and Economic Studies.</w:t>
      </w:r>
      <w:r>
        <w:rPr>
          <w:rFonts w:ascii="Times New Roman" w:cs="Times New Roman" w:eastAsia="Times New Roman" w:hAnsi="Times New Roman"/>
          <w:sz w:val="22"/>
          <w:szCs w:val="22"/>
        </w:rPr>
        <w:t xml:space="preserve"> https://doi.org/10.37871/jbres2161</w:t>
      </w:r>
    </w:p>
    <w:p>
      <w:pPr>
        <w:spacing w:after="100" w:before="0" w:line="276" w:lineRule="auto"/>
        <w:jc w:val="both"/>
      </w:pPr>
      <w:r>
        <w:rPr>
          <w:rFonts w:ascii="Times New Roman" w:cs="Times New Roman" w:eastAsia="Times New Roman" w:hAnsi="Times New Roman"/>
          <w:sz w:val="22"/>
          <w:szCs w:val="22"/>
        </w:rPr>
        <w:t xml:space="preserve">Pedersen, A. W., &amp; Bøyum, S. (2019). Justifying wealth: A typology of moral views on economic inequality. </w:t>
      </w:r>
      <w:r>
        <w:rPr>
          <w:rFonts w:ascii="Times New Roman" w:cs="Times New Roman" w:eastAsia="Times New Roman" w:hAnsi="Times New Roman"/>
          <w:i/>
          <w:iCs/>
          <w:sz w:val="22"/>
          <w:szCs w:val="22"/>
        </w:rPr>
        <w:t xml:space="preserve">Journal of Applied Philosophy.</w:t>
      </w:r>
      <w:r>
        <w:rPr>
          <w:rFonts w:ascii="Times New Roman" w:cs="Times New Roman" w:eastAsia="Times New Roman" w:hAnsi="Times New Roman"/>
          <w:sz w:val="22"/>
          <w:szCs w:val="22"/>
        </w:rPr>
        <w:t xml:space="preserve"> https://doi.org/10.1111/japp.12389</w:t>
      </w:r>
    </w:p>
    <w:p>
      <w:pPr>
        <w:spacing w:after="100" w:before="0" w:line="276" w:lineRule="auto"/>
        <w:jc w:val="both"/>
      </w:pPr>
      <w:r>
        <w:rPr>
          <w:rFonts w:ascii="Times New Roman" w:cs="Times New Roman" w:eastAsia="Times New Roman" w:hAnsi="Times New Roman"/>
          <w:sz w:val="22"/>
          <w:szCs w:val="22"/>
        </w:rPr>
        <w:t xml:space="preserve">Pierson, P., &amp; Le Galès, P. (2019). Superstar cities and the geography of inequality. </w:t>
      </w:r>
      <w:r>
        <w:rPr>
          <w:rFonts w:ascii="Times New Roman" w:cs="Times New Roman" w:eastAsia="Times New Roman" w:hAnsi="Times New Roman"/>
          <w:i/>
          <w:iCs/>
          <w:sz w:val="22"/>
          <w:szCs w:val="22"/>
        </w:rPr>
        <w:t xml:space="preserve">Daedalus.</w:t>
      </w:r>
      <w:r>
        <w:rPr>
          <w:rFonts w:ascii="Times New Roman" w:cs="Times New Roman" w:eastAsia="Times New Roman" w:hAnsi="Times New Roman"/>
          <w:sz w:val="22"/>
          <w:szCs w:val="22"/>
        </w:rPr>
        <w:t xml:space="preserve"> https://doi.org/10.1162/daed_a_01750</w:t>
      </w:r>
    </w:p>
    <w:p>
      <w:pPr>
        <w:spacing w:after="100" w:before="0" w:line="276" w:lineRule="auto"/>
        <w:jc w:val="both"/>
      </w:pPr>
      <w:r>
        <w:rPr>
          <w:rFonts w:ascii="Times New Roman" w:cs="Times New Roman" w:eastAsia="Times New Roman" w:hAnsi="Times New Roman"/>
          <w:sz w:val="22"/>
          <w:szCs w:val="22"/>
        </w:rPr>
        <w:t xml:space="preserve">Poddar, A., Trehan, B., Ray, D., &amp; Singh, R. (2024). ESG scoring and portfolio performance in emerging markets. </w:t>
      </w:r>
      <w:r>
        <w:rPr>
          <w:rFonts w:ascii="Times New Roman" w:cs="Times New Roman" w:eastAsia="Times New Roman" w:hAnsi="Times New Roman"/>
          <w:i/>
          <w:iCs/>
          <w:sz w:val="22"/>
          <w:szCs w:val="22"/>
        </w:rPr>
        <w:t xml:space="preserve">Investment Analysts Journal.</w:t>
      </w:r>
      <w:r>
        <w:rPr>
          <w:rFonts w:ascii="Times New Roman" w:cs="Times New Roman" w:eastAsia="Times New Roman" w:hAnsi="Times New Roman"/>
          <w:sz w:val="22"/>
          <w:szCs w:val="22"/>
        </w:rPr>
        <w:t xml:space="preserve"> https://doi.org/10.1080/10293523.2024.2375818</w:t>
      </w:r>
    </w:p>
    <w:p>
      <w:pPr>
        <w:spacing w:after="100" w:before="0" w:line="276" w:lineRule="auto"/>
        <w:jc w:val="both"/>
      </w:pPr>
      <w:r>
        <w:rPr>
          <w:rFonts w:ascii="Times New Roman" w:cs="Times New Roman" w:eastAsia="Times New Roman" w:hAnsi="Times New Roman"/>
          <w:sz w:val="22"/>
          <w:szCs w:val="22"/>
        </w:rPr>
        <w:t xml:space="preserve">Prabhakaran, R. (n.d.). Competitive dynamics in the wealth management industry.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https://doi.org/10.55124/csdb.v2i1.243</w:t>
      </w:r>
    </w:p>
    <w:p>
      <w:pPr>
        <w:spacing w:after="100" w:before="0" w:line="276" w:lineRule="auto"/>
        <w:jc w:val="both"/>
      </w:pPr>
      <w:r>
        <w:rPr>
          <w:rFonts w:ascii="Times New Roman" w:cs="Times New Roman" w:eastAsia="Times New Roman" w:hAnsi="Times New Roman"/>
          <w:sz w:val="22"/>
          <w:szCs w:val="22"/>
        </w:rPr>
        <w:t xml:space="preserve">Rehman, M. U., Khan, M. A., &amp; Waheed, A. (2025). Behavioral biases and investment decision quality: A systematic review.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https://doi.org/10.63075/x6nbkg69</w:t>
      </w:r>
    </w:p>
    <w:p>
      <w:pPr>
        <w:spacing w:after="100" w:before="0" w:line="276" w:lineRule="auto"/>
        <w:jc w:val="both"/>
      </w:pPr>
      <w:r>
        <w:rPr>
          <w:rFonts w:ascii="Times New Roman" w:cs="Times New Roman" w:eastAsia="Times New Roman" w:hAnsi="Times New Roman"/>
          <w:sz w:val="22"/>
          <w:szCs w:val="22"/>
        </w:rPr>
        <w:t xml:space="preserve">Richards, C. (n.d.). The heir engagement imperative: Pre-transfer advisor strategies and post-transfer retention outcomes. </w:t>
      </w:r>
      <w:r>
        <w:rPr>
          <w:rFonts w:ascii="Times New Roman" w:cs="Times New Roman" w:eastAsia="Times New Roman" w:hAnsi="Times New Roman"/>
          <w:i/>
          <w:iCs/>
          <w:sz w:val="22"/>
          <w:szCs w:val="22"/>
        </w:rPr>
        <w:t xml:space="preserve">[Working paper.]</w:t>
      </w:r>
      <w:r>
        <w:rPr>
          <w:rFonts w:ascii="Times New Roman" w:cs="Times New Roman" w:eastAsia="Times New Roman" w:hAnsi="Times New Roman"/>
          <w:sz w:val="22"/>
          <w:szCs w:val="22"/>
        </w:rPr>
        <w:t xml:space="preserve"> https://doi.org/[see bibliography — no DOI listed for #40]</w:t>
      </w:r>
    </w:p>
    <w:p>
      <w:pPr>
        <w:spacing w:after="100" w:before="0" w:line="276" w:lineRule="auto"/>
        <w:jc w:val="both"/>
      </w:pPr>
      <w:r>
        <w:rPr>
          <w:rFonts w:ascii="Times New Roman" w:cs="Times New Roman" w:eastAsia="Times New Roman" w:hAnsi="Times New Roman"/>
          <w:sz w:val="22"/>
          <w:szCs w:val="22"/>
        </w:rPr>
        <w:t xml:space="preserve">Rithmaya, C. L., Anshori, M., Basuki, A. T., &amp; Subroto, B. (2023). Financial literacy, digital capability, and investor behavior in the millennial cohort. </w:t>
      </w:r>
      <w:r>
        <w:rPr>
          <w:rFonts w:ascii="Times New Roman" w:cs="Times New Roman" w:eastAsia="Times New Roman" w:hAnsi="Times New Roman"/>
          <w:i/>
          <w:iCs/>
          <w:sz w:val="22"/>
          <w:szCs w:val="22"/>
        </w:rPr>
        <w:t xml:space="preserve">Jurnal Manajemen dan Kewirausahaan, 25</w:t>
      </w:r>
      <w:r>
        <w:rPr>
          <w:rFonts w:ascii="Times New Roman" w:cs="Times New Roman" w:eastAsia="Times New Roman" w:hAnsi="Times New Roman"/>
          <w:sz w:val="22"/>
          <w:szCs w:val="22"/>
        </w:rPr>
        <w:t xml:space="preserve">(2), 105–119. https://doi.org/10.9744/jmk.25.2.105-119</w:t>
      </w:r>
    </w:p>
    <w:p>
      <w:pPr>
        <w:spacing w:after="100" w:before="0" w:line="276" w:lineRule="auto"/>
        <w:jc w:val="both"/>
      </w:pPr>
      <w:r>
        <w:rPr>
          <w:rFonts w:ascii="Times New Roman" w:cs="Times New Roman" w:eastAsia="Times New Roman" w:hAnsi="Times New Roman"/>
          <w:sz w:val="22"/>
          <w:szCs w:val="22"/>
        </w:rPr>
        <w:t xml:space="preserve">Rico Pérez, J. A., Gutiérrez-Rodríguez, P., &amp; Morán-García, M. (2024). Robo-advisory and digital wealth management: Market trends and adoption patterns. </w:t>
      </w:r>
      <w:r>
        <w:rPr>
          <w:rFonts w:ascii="Times New Roman" w:cs="Times New Roman" w:eastAsia="Times New Roman" w:hAnsi="Times New Roman"/>
          <w:i/>
          <w:iCs/>
          <w:sz w:val="22"/>
          <w:szCs w:val="22"/>
        </w:rPr>
        <w:t xml:space="preserve">Heliyon.</w:t>
      </w:r>
      <w:r>
        <w:rPr>
          <w:rFonts w:ascii="Times New Roman" w:cs="Times New Roman" w:eastAsia="Times New Roman" w:hAnsi="Times New Roman"/>
          <w:sz w:val="22"/>
          <w:szCs w:val="22"/>
        </w:rPr>
        <w:t xml:space="preserve"> https://doi.org/10.1016/j.heliyon.2024.e35946</w:t>
      </w:r>
    </w:p>
    <w:p>
      <w:pPr>
        <w:spacing w:after="100" w:before="0" w:line="276" w:lineRule="auto"/>
        <w:jc w:val="both"/>
      </w:pPr>
      <w:r>
        <w:rPr>
          <w:rFonts w:ascii="Times New Roman" w:cs="Times New Roman" w:eastAsia="Times New Roman" w:hAnsi="Times New Roman"/>
          <w:sz w:val="22"/>
          <w:szCs w:val="22"/>
        </w:rPr>
        <w:t xml:space="preserve">Shen, J., Xu, L., &amp; Liu, M. (2025). [AI applications in portfolio management.]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[Citation #50 — no DOI specified in bibliography.]</w:t>
      </w:r>
    </w:p>
    <w:p>
      <w:pPr>
        <w:spacing w:after="100" w:before="0" w:line="276" w:lineRule="auto"/>
        <w:jc w:val="both"/>
      </w:pPr>
      <w:r>
        <w:rPr>
          <w:rFonts w:ascii="Times New Roman" w:cs="Times New Roman" w:eastAsia="Times New Roman" w:hAnsi="Times New Roman"/>
          <w:sz w:val="22"/>
          <w:szCs w:val="22"/>
        </w:rPr>
        <w:t xml:space="preserve">Siddiqui, A., &amp; Singh, R. (2026). Gen X investment behavior and advisory service preferences. </w:t>
      </w:r>
      <w:r>
        <w:rPr>
          <w:rFonts w:ascii="Times New Roman" w:cs="Times New Roman" w:eastAsia="Times New Roman" w:hAnsi="Times New Roman"/>
          <w:i/>
          <w:iCs/>
          <w:sz w:val="22"/>
          <w:szCs w:val="22"/>
        </w:rPr>
        <w:t xml:space="preserve">International Journal of Scientific Research in Engineering and Management.</w:t>
      </w:r>
      <w:r>
        <w:rPr>
          <w:rFonts w:ascii="Times New Roman" w:cs="Times New Roman" w:eastAsia="Times New Roman" w:hAnsi="Times New Roman"/>
          <w:sz w:val="22"/>
          <w:szCs w:val="22"/>
        </w:rPr>
        <w:t xml:space="preserve"> https://doi.org/10.55041/ijsrem58104</w:t>
      </w:r>
    </w:p>
    <w:p>
      <w:pPr>
        <w:spacing w:after="100" w:before="0" w:line="276" w:lineRule="auto"/>
        <w:jc w:val="both"/>
      </w:pPr>
      <w:r>
        <w:rPr>
          <w:rFonts w:ascii="Times New Roman" w:cs="Times New Roman" w:eastAsia="Times New Roman" w:hAnsi="Times New Roman"/>
          <w:sz w:val="22"/>
          <w:szCs w:val="22"/>
        </w:rPr>
        <w:t xml:space="preserve">Sklair, J., &amp; Glucksberg, L. (2020). Wealth distribution and elite philanthropy: How ultra-high-net-worth households allocate charitable capital. </w:t>
      </w:r>
      <w:r>
        <w:rPr>
          <w:rFonts w:ascii="Times New Roman" w:cs="Times New Roman" w:eastAsia="Times New Roman" w:hAnsi="Times New Roman"/>
          <w:i/>
          <w:iCs/>
          <w:sz w:val="22"/>
          <w:szCs w:val="22"/>
        </w:rPr>
        <w:t xml:space="preserve">Sociology.</w:t>
      </w:r>
      <w:r>
        <w:rPr>
          <w:rFonts w:ascii="Times New Roman" w:cs="Times New Roman" w:eastAsia="Times New Roman" w:hAnsi="Times New Roman"/>
          <w:sz w:val="22"/>
          <w:szCs w:val="22"/>
        </w:rPr>
        <w:t xml:space="preserve"> https://doi.org/10.1177/0038026120963479</w:t>
      </w:r>
    </w:p>
    <w:p>
      <w:pPr>
        <w:spacing w:after="100" w:before="0" w:line="276" w:lineRule="auto"/>
        <w:jc w:val="both"/>
      </w:pPr>
      <w:r>
        <w:rPr>
          <w:rFonts w:ascii="Times New Roman" w:cs="Times New Roman" w:eastAsia="Times New Roman" w:hAnsi="Times New Roman"/>
          <w:sz w:val="22"/>
          <w:szCs w:val="22"/>
        </w:rPr>
        <w:t xml:space="preserve">Spiteri, J., &amp; von Brockdorff, P. (2022). Cross-border wealth management and financial planning for migrant households. </w:t>
      </w:r>
      <w:r>
        <w:rPr>
          <w:rFonts w:ascii="Times New Roman" w:cs="Times New Roman" w:eastAsia="Times New Roman" w:hAnsi="Times New Roman"/>
          <w:i/>
          <w:iCs/>
          <w:sz w:val="22"/>
          <w:szCs w:val="22"/>
        </w:rPr>
        <w:t xml:space="preserve">Journal of Family and Economic Issues.</w:t>
      </w:r>
      <w:r>
        <w:rPr>
          <w:rFonts w:ascii="Times New Roman" w:cs="Times New Roman" w:eastAsia="Times New Roman" w:hAnsi="Times New Roman"/>
          <w:sz w:val="22"/>
          <w:szCs w:val="22"/>
        </w:rPr>
        <w:t xml:space="preserve"> https://doi.org/10.1007/s10834-022-09861-0</w:t>
      </w:r>
    </w:p>
    <w:p>
      <w:pPr>
        <w:spacing w:after="100" w:before="0" w:line="276" w:lineRule="auto"/>
        <w:jc w:val="both"/>
      </w:pPr>
      <w:r>
        <w:rPr>
          <w:rFonts w:ascii="Times New Roman" w:cs="Times New Roman" w:eastAsia="Times New Roman" w:hAnsi="Times New Roman"/>
          <w:sz w:val="22"/>
          <w:szCs w:val="22"/>
        </w:rPr>
        <w:t xml:space="preserve">Srivastava, A., Yadav, M., Gupta, R., &amp; Shah, N. (2025). AI and robo-advisory in wealth management: Client trust, adoption, and service quality. </w:t>
      </w:r>
      <w:r>
        <w:rPr>
          <w:rFonts w:ascii="Times New Roman" w:cs="Times New Roman" w:eastAsia="Times New Roman" w:hAnsi="Times New Roman"/>
          <w:i/>
          <w:iCs/>
          <w:sz w:val="22"/>
          <w:szCs w:val="22"/>
        </w:rPr>
        <w:t xml:space="preserve">International Journal of Research and Scientific Innovation.</w:t>
      </w:r>
      <w:r>
        <w:rPr>
          <w:rFonts w:ascii="Times New Roman" w:cs="Times New Roman" w:eastAsia="Times New Roman" w:hAnsi="Times New Roman"/>
          <w:sz w:val="22"/>
          <w:szCs w:val="22"/>
        </w:rPr>
        <w:t xml:space="preserve"> https://doi.org/10.51244/ijrsi.2025.1210000054</w:t>
      </w:r>
    </w:p>
    <w:p>
      <w:pPr>
        <w:spacing w:after="100" w:before="0" w:line="276" w:lineRule="auto"/>
        <w:jc w:val="both"/>
      </w:pPr>
      <w:r>
        <w:rPr>
          <w:rFonts w:ascii="Times New Roman" w:cs="Times New Roman" w:eastAsia="Times New Roman" w:hAnsi="Times New Roman"/>
          <w:sz w:val="22"/>
          <w:szCs w:val="22"/>
        </w:rPr>
        <w:t xml:space="preserve">Stone, H. L., &amp; Zissu, A. (2025). Estate planning for digital assets: Regulatory developments and advisor strategies. </w:t>
      </w:r>
      <w:r>
        <w:rPr>
          <w:rFonts w:ascii="Times New Roman" w:cs="Times New Roman" w:eastAsia="Times New Roman" w:hAnsi="Times New Roman"/>
          <w:i/>
          <w:iCs/>
          <w:sz w:val="22"/>
          <w:szCs w:val="22"/>
        </w:rPr>
        <w:t xml:space="preserve">Journal of Wealth Management.</w:t>
      </w:r>
      <w:r>
        <w:rPr>
          <w:rFonts w:ascii="Times New Roman" w:cs="Times New Roman" w:eastAsia="Times New Roman" w:hAnsi="Times New Roman"/>
          <w:sz w:val="22"/>
          <w:szCs w:val="22"/>
        </w:rPr>
        <w:t xml:space="preserve"> https://doi.org/10.3905/jwm.2025.1.275</w:t>
      </w:r>
    </w:p>
    <w:p>
      <w:pPr>
        <w:spacing w:after="100" w:before="0" w:line="276" w:lineRule="auto"/>
        <w:jc w:val="both"/>
      </w:pPr>
      <w:r>
        <w:rPr>
          <w:rFonts w:ascii="Times New Roman" w:cs="Times New Roman" w:eastAsia="Times New Roman" w:hAnsi="Times New Roman"/>
          <w:sz w:val="22"/>
          <w:szCs w:val="22"/>
        </w:rPr>
        <w:t xml:space="preserve">Takayanagi, K., Yamada, S., &amp; Ito, T. (2025). Digital advisory tools and client retention: Evidence from Japanese wealth management. </w:t>
      </w:r>
      <w:r>
        <w:rPr>
          <w:rFonts w:ascii="Times New Roman" w:cs="Times New Roman" w:eastAsia="Times New Roman" w:hAnsi="Times New Roman"/>
          <w:i/>
          <w:iCs/>
          <w:sz w:val="22"/>
          <w:szCs w:val="22"/>
        </w:rPr>
        <w:t xml:space="preserve">arXiv.</w:t>
      </w:r>
      <w:r>
        <w:rPr>
          <w:rFonts w:ascii="Times New Roman" w:cs="Times New Roman" w:eastAsia="Times New Roman" w:hAnsi="Times New Roman"/>
          <w:sz w:val="22"/>
          <w:szCs w:val="22"/>
        </w:rPr>
        <w:t xml:space="preserve"> https://doi.org/10.48550/arXiv.2504.05862</w:t>
      </w:r>
    </w:p>
    <w:p>
      <w:pPr>
        <w:spacing w:after="100" w:before="0" w:line="276" w:lineRule="auto"/>
        <w:jc w:val="both"/>
      </w:pPr>
      <w:r>
        <w:rPr>
          <w:rFonts w:ascii="Times New Roman" w:cs="Times New Roman" w:eastAsia="Times New Roman" w:hAnsi="Times New Roman"/>
          <w:sz w:val="22"/>
          <w:szCs w:val="22"/>
        </w:rPr>
        <w:t xml:space="preserve">Tan, A. (2020). Urban land wealth and intergenerational inequality. </w:t>
      </w:r>
      <w:r>
        <w:rPr>
          <w:rFonts w:ascii="Times New Roman" w:cs="Times New Roman" w:eastAsia="Times New Roman" w:hAnsi="Times New Roman"/>
          <w:i/>
          <w:iCs/>
          <w:sz w:val="22"/>
          <w:szCs w:val="22"/>
        </w:rPr>
        <w:t xml:space="preserve">Geoforum.</w:t>
      </w:r>
      <w:r>
        <w:rPr>
          <w:rFonts w:ascii="Times New Roman" w:cs="Times New Roman" w:eastAsia="Times New Roman" w:hAnsi="Times New Roman"/>
          <w:sz w:val="22"/>
          <w:szCs w:val="22"/>
        </w:rPr>
        <w:t xml:space="preserve"> https://doi.org/10.1016/j.geoforum.2020.09.004</w:t>
      </w:r>
    </w:p>
    <w:p>
      <w:pPr>
        <w:spacing w:after="100" w:before="0" w:line="276" w:lineRule="auto"/>
        <w:jc w:val="both"/>
      </w:pPr>
      <w:r>
        <w:rPr>
          <w:rFonts w:ascii="Times New Roman" w:cs="Times New Roman" w:eastAsia="Times New Roman" w:hAnsi="Times New Roman"/>
          <w:sz w:val="22"/>
          <w:szCs w:val="22"/>
        </w:rPr>
        <w:t xml:space="preserve">Taylor, G. (2024). Behavioral finance and the investment lifecycle: Bias, risk, and decision quality. </w:t>
      </w:r>
      <w:r>
        <w:rPr>
          <w:rFonts w:ascii="Times New Roman" w:cs="Times New Roman" w:eastAsia="Times New Roman" w:hAnsi="Times New Roman"/>
          <w:i/>
          <w:iCs/>
          <w:sz w:val="22"/>
          <w:szCs w:val="22"/>
        </w:rPr>
        <w:t xml:space="preserve">International Journal of Finance.</w:t>
      </w:r>
      <w:r>
        <w:rPr>
          <w:rFonts w:ascii="Times New Roman" w:cs="Times New Roman" w:eastAsia="Times New Roman" w:hAnsi="Times New Roman"/>
          <w:sz w:val="22"/>
          <w:szCs w:val="22"/>
        </w:rPr>
        <w:t xml:space="preserve"> https://doi.org/10.47941/ijf.2113</w:t>
      </w:r>
    </w:p>
    <w:p>
      <w:pPr>
        <w:spacing w:after="100" w:before="0" w:line="276" w:lineRule="auto"/>
        <w:jc w:val="both"/>
      </w:pPr>
      <w:r>
        <w:rPr>
          <w:rFonts w:ascii="Times New Roman" w:cs="Times New Roman" w:eastAsia="Times New Roman" w:hAnsi="Times New Roman"/>
          <w:sz w:val="22"/>
          <w:szCs w:val="22"/>
        </w:rPr>
        <w:t xml:space="preserve">Turner, J. A., &amp; Giordano, G. (2020). Fee structures and client outcomes in financial advisory relationships. </w:t>
      </w:r>
      <w:r>
        <w:rPr>
          <w:rFonts w:ascii="Times New Roman" w:cs="Times New Roman" w:eastAsia="Times New Roman" w:hAnsi="Times New Roman"/>
          <w:i/>
          <w:iCs/>
          <w:sz w:val="22"/>
          <w:szCs w:val="22"/>
        </w:rPr>
        <w:t xml:space="preserve">Journal of Retirement.</w:t>
      </w:r>
      <w:r>
        <w:rPr>
          <w:rFonts w:ascii="Times New Roman" w:cs="Times New Roman" w:eastAsia="Times New Roman" w:hAnsi="Times New Roman"/>
          <w:sz w:val="22"/>
          <w:szCs w:val="22"/>
        </w:rPr>
        <w:t xml:space="preserve"> https://doi.org/10.3905/JOR.2020.1.074</w:t>
      </w:r>
    </w:p>
    <w:p>
      <w:pPr>
        <w:spacing w:after="100" w:before="0" w:line="276" w:lineRule="auto"/>
        <w:jc w:val="both"/>
      </w:pPr>
      <w:r>
        <w:rPr>
          <w:rFonts w:ascii="Times New Roman" w:cs="Times New Roman" w:eastAsia="Times New Roman" w:hAnsi="Times New Roman"/>
          <w:sz w:val="22"/>
          <w:szCs w:val="22"/>
        </w:rPr>
        <w:t xml:space="preserve">Waldenström, D., &amp; Henrekson, M. (2016). Inheritance taxation in Sweden: The rise and fall of a fiscal institution. </w:t>
      </w:r>
      <w:r>
        <w:rPr>
          <w:rFonts w:ascii="Times New Roman" w:cs="Times New Roman" w:eastAsia="Times New Roman" w:hAnsi="Times New Roman"/>
          <w:i/>
          <w:iCs/>
          <w:sz w:val="22"/>
          <w:szCs w:val="22"/>
        </w:rPr>
        <w:t xml:space="preserve">Economic History Review.</w:t>
      </w:r>
      <w:r>
        <w:rPr>
          <w:rFonts w:ascii="Times New Roman" w:cs="Times New Roman" w:eastAsia="Times New Roman" w:hAnsi="Times New Roman"/>
          <w:sz w:val="22"/>
          <w:szCs w:val="22"/>
        </w:rPr>
        <w:t xml:space="preserve"> https://doi.org/10.1111/ehr.12280</w:t>
      </w:r>
    </w:p>
    <w:p>
      <w:pPr>
        <w:spacing w:after="100" w:before="0" w:line="276" w:lineRule="auto"/>
        <w:jc w:val="both"/>
      </w:pPr>
      <w:r>
        <w:rPr>
          <w:rFonts w:ascii="Times New Roman" w:cs="Times New Roman" w:eastAsia="Times New Roman" w:hAnsi="Times New Roman"/>
          <w:sz w:val="22"/>
          <w:szCs w:val="22"/>
        </w:rPr>
        <w:t xml:space="preserve">Wang, Y. (2026). Comparative wealth management regulatory environments and advisor business models.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https://doi.org/10.54691/4fj6gs84</w:t>
      </w:r>
    </w:p>
    <w:p>
      <w:pPr>
        <w:spacing w:after="100" w:before="0" w:line="276" w:lineRule="auto"/>
        <w:jc w:val="both"/>
      </w:pPr>
      <w:r>
        <w:rPr>
          <w:rFonts w:ascii="Times New Roman" w:cs="Times New Roman" w:eastAsia="Times New Roman" w:hAnsi="Times New Roman"/>
          <w:sz w:val="22"/>
          <w:szCs w:val="22"/>
        </w:rPr>
        <w:t xml:space="preserve">Wong, A., &amp; Ho, P. (2022). Referral dynamics and advisor acquisition in Asian wealth management markets. </w:t>
      </w:r>
      <w:r>
        <w:rPr>
          <w:rFonts w:ascii="Times New Roman" w:cs="Times New Roman" w:eastAsia="Times New Roman" w:hAnsi="Times New Roman"/>
          <w:i/>
          <w:iCs/>
          <w:sz w:val="22"/>
          <w:szCs w:val="22"/>
        </w:rPr>
        <w:t xml:space="preserve">Journal of Financial Services Marketing.</w:t>
      </w:r>
      <w:r>
        <w:rPr>
          <w:rFonts w:ascii="Times New Roman" w:cs="Times New Roman" w:eastAsia="Times New Roman" w:hAnsi="Times New Roman"/>
          <w:sz w:val="22"/>
          <w:szCs w:val="22"/>
        </w:rPr>
        <w:t xml:space="preserve"> https://doi.org/10.1057/s41264-022-00150-3</w:t>
      </w:r>
    </w:p>
    <w:p>
      <w:pPr>
        <w:spacing w:after="100" w:before="0" w:line="276" w:lineRule="auto"/>
        <w:jc w:val="both"/>
      </w:pPr>
      <w:r>
        <w:rPr>
          <w:rFonts w:ascii="Times New Roman" w:cs="Times New Roman" w:eastAsia="Times New Roman" w:hAnsi="Times New Roman"/>
          <w:sz w:val="22"/>
          <w:szCs w:val="22"/>
        </w:rPr>
        <w:t xml:space="preserve">Yang, G., &amp; Lee, C. (2024). Client acceptance of AI-generated financial recommendations: The role of human-in-the-loop architecture. </w:t>
      </w:r>
      <w:r>
        <w:rPr>
          <w:rFonts w:ascii="Times New Roman" w:cs="Times New Roman" w:eastAsia="Times New Roman" w:hAnsi="Times New Roman"/>
          <w:i/>
          <w:iCs/>
          <w:sz w:val="22"/>
          <w:szCs w:val="22"/>
        </w:rPr>
        <w:t xml:space="preserve">Journal of Risk and Financial Management, 17</w:t>
      </w:r>
      <w:r>
        <w:rPr>
          <w:rFonts w:ascii="Times New Roman" w:cs="Times New Roman" w:eastAsia="Times New Roman" w:hAnsi="Times New Roman"/>
          <w:sz w:val="22"/>
          <w:szCs w:val="22"/>
        </w:rPr>
        <w:t xml:space="preserve">(10), 470. https://doi.org/10.3390/jrfm17100470</w:t>
      </w:r>
    </w:p>
    <w:p>
      <w:pPr>
        <w:spacing w:after="100" w:before="0" w:line="276" w:lineRule="auto"/>
        <w:jc w:val="both"/>
      </w:pPr>
      <w:r>
        <w:rPr>
          <w:rFonts w:ascii="Times New Roman" w:cs="Times New Roman" w:eastAsia="Times New Roman" w:hAnsi="Times New Roman"/>
          <w:sz w:val="22"/>
          <w:szCs w:val="22"/>
        </w:rPr>
        <w:t xml:space="preserve">Yaramolu, A. (2025). AI trust and adoption in financial services: A behavioral model. </w:t>
      </w:r>
      <w:r>
        <w:rPr>
          <w:rFonts w:ascii="Times New Roman" w:cs="Times New Roman" w:eastAsia="Times New Roman" w:hAnsi="Times New Roman"/>
          <w:i/>
          <w:iCs/>
          <w:sz w:val="22"/>
          <w:szCs w:val="22"/>
        </w:rPr>
        <w:t xml:space="preserve">Journal of Computer Science and Technology Studies, 7</w:t>
      </w:r>
      <w:r>
        <w:rPr>
          <w:rFonts w:ascii="Times New Roman" w:cs="Times New Roman" w:eastAsia="Times New Roman" w:hAnsi="Times New Roman"/>
          <w:sz w:val="22"/>
          <w:szCs w:val="22"/>
        </w:rPr>
        <w:t xml:space="preserve">(3). https://doi.org/10.32996/jcsts.2025.7.3.3</w:t>
      </w:r>
    </w:p>
    <w:p>
      <w:pPr>
        <w:spacing w:after="100" w:before="0" w:line="276" w:lineRule="auto"/>
        <w:jc w:val="both"/>
      </w:pPr>
      <w:r>
        <w:rPr>
          <w:rFonts w:ascii="Times New Roman" w:cs="Times New Roman" w:eastAsia="Times New Roman" w:hAnsi="Times New Roman"/>
          <w:sz w:val="22"/>
          <w:szCs w:val="22"/>
        </w:rPr>
        <w:t xml:space="preserve">Yi, Y., Knill, A., &amp; Rozeff, M. (2021). Institutional trading and the equity premium. </w:t>
      </w:r>
      <w:r>
        <w:rPr>
          <w:rFonts w:ascii="Times New Roman" w:cs="Times New Roman" w:eastAsia="Times New Roman" w:hAnsi="Times New Roman"/>
          <w:i/>
          <w:iCs/>
          <w:sz w:val="22"/>
          <w:szCs w:val="22"/>
        </w:rPr>
        <w:t xml:space="preserve">[Journal publication.]</w:t>
      </w:r>
      <w:r>
        <w:rPr>
          <w:rFonts w:ascii="Times New Roman" w:cs="Times New Roman" w:eastAsia="Times New Roman" w:hAnsi="Times New Roman"/>
          <w:sz w:val="22"/>
          <w:szCs w:val="22"/>
        </w:rPr>
        <w:t xml:space="preserve"> [Citation #88 — no DOI specified in bibliography.]</w:t>
      </w:r>
    </w:p>
    <w:p>
      <w:pPr>
        <w:spacing w:after="100" w:before="0" w:line="276" w:lineRule="auto"/>
        <w:jc w:val="both"/>
      </w:pPr>
      <w:r>
        <w:rPr>
          <w:rFonts w:ascii="Times New Roman" w:cs="Times New Roman" w:eastAsia="Times New Roman" w:hAnsi="Times New Roman"/>
          <w:sz w:val="22"/>
          <w:szCs w:val="22"/>
        </w:rPr>
        <w:t xml:space="preserve">Zhou, X. (n.d.). [Wealth concentration and advisory firm market share dynamics.] </w:t>
      </w:r>
      <w:r>
        <w:rPr>
          <w:rFonts w:ascii="Times New Roman" w:cs="Times New Roman" w:eastAsia="Times New Roman" w:hAnsi="Times New Roman"/>
          <w:i/>
          <w:iCs/>
          <w:sz w:val="22"/>
          <w:szCs w:val="22"/>
        </w:rPr>
        <w:t xml:space="preserve">[Working paper.]</w:t>
      </w:r>
      <w:r>
        <w:rPr>
          <w:rFonts w:ascii="Times New Roman" w:cs="Times New Roman" w:eastAsia="Times New Roman" w:hAnsi="Times New Roman"/>
          <w:sz w:val="22"/>
          <w:szCs w:val="22"/>
        </w:rPr>
        <w:t xml:space="preserve"> [Citation #69 — no DOI specified in bibliography.]</w:t>
      </w:r>
    </w:p>
    <w:sectPr>
      <w:headerReference w:type="default" r:id="rId7"/>
      <w:footerReference w:type="default" r:id="rId8"/>
      <w:pgSz w:w="12240" w:h="15840" w:orient="portrait"/>
      <w:pgMar w:top="1440" w:right="126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0" w:before="0"/>
      <w:jc w:val="right"/>
    </w:pPr>
    <w:r>
      <w:rPr>
        <w:rFonts w:ascii="Times New Roman" w:cs="Times New Roman" w:eastAsia="Times New Roman" w:hAnsi="Times New Roman"/>
        <w:i/>
        <w:iCs/>
        <w:color w:val="666666"/>
        <w:sz w:val="18"/>
        <w:szCs w:val="18"/>
      </w:rPr>
      <w:t xml:space="preserve">Winning the Greatest Wealth Transfer in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line="276" w:lineRule="auto"/>
      <w:outlineLvl w:val="0"/>
    </w:pPr>
    <w:rPr>
      <w:rFonts w:ascii="Times New Roman" w:cs="Times New Roman" w:eastAsia="Times New Roman" w:hAnsi="Times New Roman"/>
      <w:b/>
      <w:bCs/>
      <w:caps/>
      <w:color w:val="111111"/>
      <w:sz w:val="28"/>
      <w:szCs w:val="28"/>
    </w:rPr>
  </w:style>
  <w:style w:type="paragraph" w:styleId="Heading2">
    <w:name w:val="Heading 2"/>
    <w:basedOn w:val="Normal"/>
    <w:next w:val="Normal"/>
    <w:qFormat/>
    <w:pPr>
      <w:spacing w:after="100" w:before="240" w:line="276" w:lineRule="auto"/>
      <w:outlineLvl w:val="1"/>
    </w:pPr>
    <w:rPr>
      <w:rFonts w:ascii="Times New Roman" w:cs="Times New Roman" w:eastAsia="Times New Roman" w:hAnsi="Times New Roman"/>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2026-06-13T23:18:40.981Z</dcterms:created>
  <dcterms:modified xsi:type="dcterms:W3CDTF">2026-06-13T23:18:40.981Z</dcterms:modified>
</cp:coreProperties>
</file>

<file path=docProps/custom.xml><?xml version="1.0" encoding="utf-8"?>
<Properties xmlns="http://schemas.openxmlformats.org/officeDocument/2006/custom-properties" xmlns:vt="http://schemas.openxmlformats.org/officeDocument/2006/docPropsVTypes"/>
</file>