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D4F" w:val="clear"/>
            <w:tcMar>
              <w:top w:type="dxa" w:w="500"/>
              <w:left w:type="dxa" w:w="300"/>
              <w:bottom w:type="dxa" w:w="500"/>
              <w:right w:type="dxa" w:w="300"/>
            </w:tcMar>
          </w:tcPr>
          <w:p>
            <w:pPr>
              <w:jc w:val="center"/>
            </w:pPr>
            <w:r>
              <w:rPr>
                <w:rFonts w:ascii="Arial" w:cs="Arial" w:eastAsia="Arial" w:hAnsi="Arial"/>
                <w:b/>
                <w:bCs/>
                <w:caps/>
                <w:color w:val="FFFFFF"/>
                <w:sz w:val="20"/>
                <w:szCs w:val="20"/>
              </w:rPr>
              <w:t xml:space="preserve">DOCTORAL RESEARCH DISSERTATION</w:t>
            </w:r>
          </w:p>
        </w:tc>
      </w:tr>
    </w:tbl>
    <w:p>
      <w:pPr>
        <w:spacing w:after="0" w:before="800"/>
      </w:pPr>
    </w:p>
    <w:p>
      <w:pPr>
        <w:pBdr>
          <w:top w:val="single" w:color="B8860B" w:sz="12"/>
        </w:pBdr>
        <w:spacing w:after="80" w:before="0"/>
      </w:pPr>
    </w:p>
    <w:p>
      <w:pPr>
        <w:spacing w:after="200" w:before="400"/>
        <w:jc w:val="center"/>
      </w:pPr>
      <w:r>
        <w:rPr>
          <w:rFonts w:ascii="Georgia" w:cs="Georgia" w:eastAsia="Georgia" w:hAnsi="Georgia"/>
          <w:b/>
          <w:bCs/>
          <w:color w:val="1B2D4F"/>
          <w:sz w:val="52"/>
          <w:szCs w:val="52"/>
        </w:rPr>
        <w:t xml:space="preserve">The Future of Wealth Management</w:t>
      </w:r>
    </w:p>
    <w:p>
      <w:pPr>
        <w:spacing w:after="200" w:before="0"/>
        <w:jc w:val="center"/>
      </w:pPr>
      <w:r>
        <w:rPr>
          <w:rFonts w:ascii="Georgia" w:cs="Georgia" w:eastAsia="Georgia" w:hAnsi="Georgia"/>
          <w:b/>
          <w:bCs/>
          <w:color w:val="1B2D4F"/>
          <w:sz w:val="52"/>
          <w:szCs w:val="52"/>
        </w:rPr>
        <w:t xml:space="preserve">and the Great Wealth Transfer</w:t>
      </w:r>
    </w:p>
    <w:p>
      <w:pPr>
        <w:pBdr>
          <w:bottom w:val="single" w:color="B8860B" w:sz="6"/>
        </w:pBdr>
        <w:spacing w:after="560" w:before="80"/>
        <w:jc w:val="center"/>
      </w:pPr>
      <w:r>
        <w:rPr>
          <w:rFonts w:ascii="Georgia" w:cs="Georgia" w:eastAsia="Georgia" w:hAnsi="Georgia"/>
          <w:i/>
          <w:iCs/>
          <w:color w:val="4A4A4A"/>
          <w:sz w:val="26"/>
          <w:szCs w:val="26"/>
        </w:rPr>
        <w:t xml:space="preserve">Which wealth management teams will be best positioned to win during the greatest wealth transfer in history over the next 10 years?</w:t>
      </w:r>
    </w:p>
    <w:p>
      <w:pPr>
        <w:spacing w:after="120" w:before="560"/>
      </w:pPr>
    </w:p>
    <w:p>
      <w:pPr>
        <w:spacing w:after="80" w:before="0"/>
        <w:jc w:val="center"/>
      </w:pPr>
      <w:r>
        <w:rPr>
          <w:rFonts w:ascii="Arial" w:cs="Arial" w:eastAsia="Arial" w:hAnsi="Arial"/>
          <w:color w:val="555555"/>
          <w:sz w:val="22"/>
          <w:szCs w:val="22"/>
        </w:rPr>
        <w:t xml:space="preserve">A Comprehensive Research Dissertation</w:t>
      </w:r>
    </w:p>
    <w:p>
      <w:pPr>
        <w:spacing w:after="80" w:before="0"/>
        <w:jc w:val="center"/>
      </w:pPr>
      <w:r>
        <w:rPr>
          <w:rFonts w:ascii="Arial" w:cs="Arial" w:eastAsia="Arial" w:hAnsi="Arial"/>
          <w:color w:val="555555"/>
          <w:sz w:val="22"/>
          <w:szCs w:val="22"/>
        </w:rPr>
        <w:t xml:space="preserve">Submitted in Partial Fulfillment of the Requirements for the Degree of Doctor of Philosophy</w:t>
      </w:r>
    </w:p>
    <w:p>
      <w:pPr>
        <w:spacing w:after="80" w:before="0"/>
        <w:jc w:val="center"/>
      </w:pPr>
      <w:r>
        <w:rPr>
          <w:rFonts w:ascii="Arial" w:cs="Arial" w:eastAsia="Arial" w:hAnsi="Arial"/>
          <w:b/>
          <w:bCs/>
          <w:color w:val="1B2D4F"/>
          <w:sz w:val="22"/>
          <w:szCs w:val="22"/>
        </w:rPr>
        <w:t xml:space="preserve">in Financial Services and Wealth Management</w:t>
      </w:r>
    </w:p>
    <w:p>
      <w:pPr>
        <w:spacing w:after="0" w:before="4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none" w:color="FFFFFF" w:sz="0"/>
              <w:left w:val="none" w:color="FFFFFF" w:sz="0"/>
              <w:bottom w:val="none" w:color="FFFFFF" w:sz="0"/>
              <w:right w:val="none" w:color="FFFFFF" w:sz="0"/>
            </w:tcBorders>
            <w:shd w:fill="F4F6F9" w:val="clear"/>
            <w:tcMar>
              <w:top w:type="dxa" w:w="80"/>
              <w:left w:type="dxa" w:w="120"/>
              <w:bottom w:type="dxa" w:w="80"/>
              <w:right w:type="dxa" w:w="80"/>
            </w:tcMar>
          </w:tcPr>
          <w:p>
            <w:r>
              <w:rPr>
                <w:rFonts w:ascii="Arial" w:cs="Arial" w:eastAsia="Arial" w:hAnsi="Arial"/>
                <w:b/>
                <w:bCs/>
                <w:color w:val="1B2D4F"/>
                <w:sz w:val="20"/>
                <w:szCs w:val="20"/>
              </w:rPr>
              <w:t xml:space="preserve">Field:</w:t>
            </w:r>
          </w:p>
        </w:tc>
        <w:tc>
          <w:tcPr>
            <w:tcW w:type="dxa" w:w="400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Arial" w:cs="Arial" w:eastAsia="Arial" w:hAnsi="Arial"/>
                <w:color w:val="333333"/>
                <w:sz w:val="20"/>
                <w:szCs w:val="20"/>
              </w:rPr>
              <w:t xml:space="preserve">Wealth Management &amp; Financial Services</w:t>
            </w:r>
          </w:p>
        </w:tc>
      </w:tr>
      <w:tr>
        <w:tc>
          <w:tcPr>
            <w:tcW w:type="dxa" w:w="2000"/>
            <w:tcBorders>
              <w:top w:val="none" w:color="FFFFFF" w:sz="0"/>
              <w:left w:val="none" w:color="FFFFFF" w:sz="0"/>
              <w:bottom w:val="none" w:color="FFFFFF" w:sz="0"/>
              <w:right w:val="none" w:color="FFFFFF" w:sz="0"/>
            </w:tcBorders>
            <w:shd w:fill="F4F6F9" w:val="clear"/>
            <w:tcMar>
              <w:top w:type="dxa" w:w="80"/>
              <w:left w:type="dxa" w:w="120"/>
              <w:bottom w:type="dxa" w:w="80"/>
              <w:right w:type="dxa" w:w="80"/>
            </w:tcMar>
          </w:tcPr>
          <w:p>
            <w:r>
              <w:rPr>
                <w:rFonts w:ascii="Arial" w:cs="Arial" w:eastAsia="Arial" w:hAnsi="Arial"/>
                <w:b/>
                <w:bCs/>
                <w:color w:val="1B2D4F"/>
                <w:sz w:val="20"/>
                <w:szCs w:val="20"/>
              </w:rPr>
              <w:t xml:space="preserve">Research Focus:</w:t>
            </w:r>
          </w:p>
        </w:tc>
        <w:tc>
          <w:tcPr>
            <w:tcW w:type="dxa" w:w="400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Arial" w:cs="Arial" w:eastAsia="Arial" w:hAnsi="Arial"/>
                <w:color w:val="333333"/>
                <w:sz w:val="20"/>
                <w:szCs w:val="20"/>
              </w:rPr>
              <w:t xml:space="preserve">Intergenerational Wealth Transfer Strategy</w:t>
            </w:r>
          </w:p>
        </w:tc>
      </w:tr>
      <w:tr>
        <w:tc>
          <w:tcPr>
            <w:tcW w:type="dxa" w:w="2000"/>
            <w:tcBorders>
              <w:top w:val="none" w:color="FFFFFF" w:sz="0"/>
              <w:left w:val="none" w:color="FFFFFF" w:sz="0"/>
              <w:bottom w:val="none" w:color="FFFFFF" w:sz="0"/>
              <w:right w:val="none" w:color="FFFFFF" w:sz="0"/>
            </w:tcBorders>
            <w:shd w:fill="F4F6F9" w:val="clear"/>
            <w:tcMar>
              <w:top w:type="dxa" w:w="80"/>
              <w:left w:type="dxa" w:w="120"/>
              <w:bottom w:type="dxa" w:w="80"/>
              <w:right w:type="dxa" w:w="80"/>
            </w:tcMar>
          </w:tcPr>
          <w:p>
            <w:r>
              <w:rPr>
                <w:rFonts w:ascii="Arial" w:cs="Arial" w:eastAsia="Arial" w:hAnsi="Arial"/>
                <w:b/>
                <w:bCs/>
                <w:color w:val="1B2D4F"/>
                <w:sz w:val="20"/>
                <w:szCs w:val="20"/>
              </w:rPr>
              <w:t xml:space="preserve">Methodology:</w:t>
            </w:r>
          </w:p>
        </w:tc>
        <w:tc>
          <w:tcPr>
            <w:tcW w:type="dxa" w:w="400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Arial" w:cs="Arial" w:eastAsia="Arial" w:hAnsi="Arial"/>
                <w:color w:val="333333"/>
                <w:sz w:val="20"/>
                <w:szCs w:val="20"/>
              </w:rPr>
              <w:t xml:space="preserve">Mixed Methods — Quantitative &amp; Qualitative</w:t>
            </w:r>
          </w:p>
        </w:tc>
      </w:tr>
      <w:tr>
        <w:tc>
          <w:tcPr>
            <w:tcW w:type="dxa" w:w="2000"/>
            <w:tcBorders>
              <w:top w:val="none" w:color="FFFFFF" w:sz="0"/>
              <w:left w:val="none" w:color="FFFFFF" w:sz="0"/>
              <w:bottom w:val="none" w:color="FFFFFF" w:sz="0"/>
              <w:right w:val="none" w:color="FFFFFF" w:sz="0"/>
            </w:tcBorders>
            <w:shd w:fill="F4F6F9" w:val="clear"/>
            <w:tcMar>
              <w:top w:type="dxa" w:w="80"/>
              <w:left w:type="dxa" w:w="120"/>
              <w:bottom w:type="dxa" w:w="80"/>
              <w:right w:type="dxa" w:w="80"/>
            </w:tcMar>
          </w:tcPr>
          <w:p>
            <w:r>
              <w:rPr>
                <w:rFonts w:ascii="Arial" w:cs="Arial" w:eastAsia="Arial" w:hAnsi="Arial"/>
                <w:b/>
                <w:bCs/>
                <w:color w:val="1B2D4F"/>
                <w:sz w:val="20"/>
                <w:szCs w:val="20"/>
              </w:rPr>
              <w:t xml:space="preserve">Citations:</w:t>
            </w:r>
          </w:p>
        </w:tc>
        <w:tc>
          <w:tcPr>
            <w:tcW w:type="dxa" w:w="400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Arial" w:cs="Arial" w:eastAsia="Arial" w:hAnsi="Arial"/>
                <w:color w:val="333333"/>
                <w:sz w:val="20"/>
                <w:szCs w:val="20"/>
              </w:rPr>
              <w:t xml:space="preserve">100 Peer-Reviewed Academic Papers</w:t>
            </w:r>
          </w:p>
        </w:tc>
      </w:tr>
      <w:tr>
        <w:tc>
          <w:tcPr>
            <w:tcW w:type="dxa" w:w="2000"/>
            <w:tcBorders>
              <w:top w:val="none" w:color="FFFFFF" w:sz="0"/>
              <w:left w:val="none" w:color="FFFFFF" w:sz="0"/>
              <w:bottom w:val="none" w:color="FFFFFF" w:sz="0"/>
              <w:right w:val="none" w:color="FFFFFF" w:sz="0"/>
            </w:tcBorders>
            <w:shd w:fill="F4F6F9" w:val="clear"/>
            <w:tcMar>
              <w:top w:type="dxa" w:w="80"/>
              <w:left w:type="dxa" w:w="120"/>
              <w:bottom w:type="dxa" w:w="80"/>
              <w:right w:type="dxa" w:w="80"/>
            </w:tcMar>
          </w:tcPr>
          <w:p>
            <w:r>
              <w:rPr>
                <w:rFonts w:ascii="Arial" w:cs="Arial" w:eastAsia="Arial" w:hAnsi="Arial"/>
                <w:b/>
                <w:bCs/>
                <w:color w:val="1B2D4F"/>
                <w:sz w:val="20"/>
                <w:szCs w:val="20"/>
              </w:rPr>
              <w:t xml:space="preserve">Year:</w:t>
            </w:r>
          </w:p>
        </w:tc>
        <w:tc>
          <w:tcPr>
            <w:tcW w:type="dxa" w:w="400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Arial" w:cs="Arial" w:eastAsia="Arial" w:hAnsi="Arial"/>
                <w:color w:val="333333"/>
                <w:sz w:val="20"/>
                <w:szCs w:val="20"/>
              </w:rPr>
              <w:t xml:space="preserve">2025 – 2026</w:t>
            </w:r>
          </w:p>
        </w:tc>
      </w:tr>
    </w:tbl>
    <w:p>
      <w:r>
        <w:br w:type="page"/>
      </w:r>
    </w:p>
    <w:p>
      <w:pPr>
        <w:pStyle w:val="Heading1"/>
        <w:spacing w:after="200" w:before="200"/>
      </w:pPr>
      <w:r>
        <w:rPr>
          <w:rFonts w:ascii="Arial" w:cs="Arial" w:eastAsia="Arial" w:hAnsi="Arial"/>
          <w:b/>
          <w:bCs/>
          <w:color w:val="1B2D4F"/>
          <w:sz w:val="36"/>
          <w:szCs w:val="36"/>
        </w:rPr>
        <w:t xml:space="preserve">TABLE OF CONTENTS</w:t>
      </w:r>
    </w:p>
    <w:p>
      <w:pPr>
        <w:pBdr>
          <w:bottom w:val="single" w:color="B8860B" w:sz="6"/>
        </w:pBdr>
        <w:spacing w:after="40" w:before="40"/>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r>
        <w:br w:type="page"/>
      </w:r>
    </w:p>
    <w:p>
      <w:pPr>
        <w:pStyle w:val="Heading1"/>
        <w:spacing w:after="80" w:before="440"/>
      </w:pPr>
      <w:r>
        <w:rPr>
          <w:rFonts w:ascii="Arial" w:cs="Arial" w:eastAsia="Arial" w:hAnsi="Arial"/>
          <w:b/>
          <w:bCs/>
          <w:caps/>
          <w:color w:val="B8860B"/>
          <w:sz w:val="20"/>
          <w:szCs w:val="20"/>
        </w:rPr>
        <w:t xml:space="preserve">CHAPTER 1</w:t>
      </w:r>
    </w:p>
    <w:p>
      <w:pPr>
        <w:pStyle w:val="Heading1"/>
        <w:spacing w:after="200" w:before="0"/>
      </w:pPr>
      <w:r>
        <w:rPr>
          <w:rFonts w:ascii="Arial" w:cs="Arial" w:eastAsia="Arial" w:hAnsi="Arial"/>
          <w:b/>
          <w:bCs/>
          <w:color w:val="1B2D4F"/>
          <w:sz w:val="36"/>
          <w:szCs w:val="36"/>
        </w:rPr>
        <w:t xml:space="preserve">Executive Summary</w:t>
      </w:r>
    </w:p>
    <w:p>
      <w:pPr>
        <w:pBdr>
          <w:bottom w:val="single" w:color="B8860B" w:sz="6"/>
        </w:pBdr>
        <w:spacing w:after="40" w:before="40"/>
      </w:pPr>
    </w:p>
    <w:p>
      <w:pPr>
        <w:pStyle w:val="Heading2"/>
        <w:spacing w:after="120" w:before="320"/>
      </w:pPr>
      <w:r>
        <w:rPr>
          <w:rFonts w:ascii="Arial" w:cs="Arial" w:eastAsia="Arial" w:hAnsi="Arial"/>
          <w:b/>
          <w:bCs/>
          <w:color w:val="1B2D4F"/>
          <w:sz w:val="26"/>
          <w:szCs w:val="26"/>
        </w:rPr>
        <w:t xml:space="preserve">The Stakes, the Structure, and the Strategic Imperative</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wealth management industry stands at a structural inflection point of a kind that occurs perhaps once in a generation. Over the decade between 2025 and 2035, an estimated $84.4 trillion in investable assets will move across American households — from the generation that built, accumulated, and stewarded that wealth to the generation, or generations, that will inherit it. When scaled to the global context, the figures are still more arresting: Ooi WG (2025) estimates total intergenerational wealth currently in motion or imminently transferable at approximately $115 trillion worldwide, a figure that subsumes not only U.S. household assets but the accumulated private fortunes of Europe, Asia, and the emerging-market HNWI class. The Capgemini World Wealth Report documents a global high-net-worth individual (HNWI) population of 22.8 million persons whose aggregate wealth stood at $86.8 trillion in 2023 alone, while UBS estimates total global private wealth across all quintiles at approximately $454 trillion. These numbers are not rhetorical hyperbole; they represent the operating universe within which wealth management firms will compete — or fail to compete — over the next decade.</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question this dissertation poses is not descriptive but strategic: which advisory organizations will be best positioned to capture, retain, and grow assets as this transfer unfolds? The answer is neither obvious nor predetermined. It requires a disciplined analysis of the demographic forces driving the transfer, the behavioral and technological expectations of receiving generations, the competitive architecture of the advisory industry itself, and the emerging role of artificial intelligence and digital infrastructure in reshaping client service. Taken together, these forces define not merely a market opportunity but a winnowing event — a competitive selection pressure that will separate firms capable of adaptation from those anchored to service models whose underlying client base is literally aging out.</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scale of what is at risk internally to the advisory industry is itself significant. Advisory headcount in the United States has been declining at approximately 1.5 percent per year as veteran advisors retire without sufficient successor pipelines to replace them. More precisely, 37 percent of currently practicing financial advisors have indicated plans to retire within the next ten years, placing an estimated $2.4 trillion in assets under management in a state of operational vulnerability — not because the assets will evaporate, but because the client relationships that custody them will be severed. The intersection of advisor retirement and client-wealth transfer is not coincidental; both reflect the same demographic reality. McKinsey estimates that U.S. wealth management revenues stand at approximately $330 billion annually, making it one of the most financially consequential professional services sectors in the global economy. The Federal Reserve's distributional financial accounts confirm that the top one percent of U.S. households hold 30.6 percent of all domestic wealth, and the advisory relationships that serve this concentration are precisely those most exposed to succession-driven attrition.</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demographic context is well established in the academic literature. Langley (2026) frames the Great Wealth Transfer not primarily as a financial event but as an institutional stress test — a moment at which the structural assumptions embedded in the existing advisory model are challenged by a clientele that did not form those relationships and does not share the values that produced them. Narayan (2025) documents the dual-sided opportunity and challenge: the transfer creates extraordinary prospects for advisor growth, but the behavioral, technological, and ethical expectations of inheriting cohorts are systematically misaligned with the service architectures that incumbents have built over decades. The evidence suggests that alignment failures — not competitive price-cutting or robo-advisory displacement alone — will be the primary driver of asset outflows at the moment of transfer.</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competitive landscape across which this transfer will play out is stratified and in transition. Registered Investment Advisors (RIAs) currently custody approximately $9 trillion in assets and are expanding at twice the organic growth rate of wirehouse firms. BlackRock research suggests that 67 percent of Millennial investors are open to digital advisory services, a preference that aligns with the service architecture of fintech-native platforms far more naturally than with the branch-based, relationship-intensive model of traditional wirehouses. The fee structures that underpin advisory compensation — principally the assets-under-management (AUM) percentage model — are themselves under scrutiny, as both regulators and clients interrogate the alignment between advisor incentives and client outcomes (Turner &amp; Giordano, 2020). Bhardwaj (2025) documents the accelerating integration of artificial intelligence into wealth management workflows, from natural language portfolio reporting to predictive client-churn models, and argues that AI capability will become a primary competitive differentiator within five years.</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Against this backdrop, the dissertation advances a specific, testable thesis: wealth management organizations that will disproportionately win during the Great Wealth Transfer are those that combine four structural competencies simultaneously. First, systematic and documented next-generation client engagement strategies deployed before wealth transfer events occur. Second, AI-augmented service architectures that deliver personalization at scale while preserving the human advisory relationships that HNWI clients continue to value. Third, fee models flexible enough to accommodate the cost-consciousness and platform expectations of younger inheritors without cannibalizing revenue from legacy AUM relationships. Fourth, genuine competency in multigenerational and estate planning that converts the advisor from a portfolio manager into a trusted family financial architect. No single one of these competencies is sufficient; the competitive advantage lies in their integration.</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chapters that follow develop this thesis through five analytical lenses. Chapter 2 situates the transfer in its historical and structural context, formally stating the central argument and reviewing the industry dynamics that make advisor selection at transfer events so consequential. Chapter 3 reviews the academic and practitioner literature across the domains of wealth inequality, behavioral finance, technology adoption, and advisory strategy, identifying the specific gap in cross-disciplinary integration that motivates the present work. Chapters 4 and 5 provide granular demographic analyses of wealth transferors (the Boomer and Silent generations) and wealth recipients (Gen X, Millennials, and Gen Z) respectively, establishing the empirical foundations on which competitive strategy must rest. Subsequent chapters (6 through 10) will address competitive firm archetypes, AI and technology infrastructure, fee and business model evolution, estate planning competency, and the final synthesis of winning organizational characteristics.</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practical stakes of this analysis are not confined to advisory firms. They extend to the families whose financial security depends on whether their advisors are structurally equipped to serve them across generational boundaries, to the policymakers who must ensure that regulatory frameworks remain fit for purpose in a digitally transformed advisory environment, and to the broader economy whose capital allocation efficiency is, in part, a function of whether professional financial guidance reaches the households that most need it (Ooi WG, 2025). The Great Wealth Transfer is not merely an industry event. It is a civilizational redistribution of accumulated productive capacity, and the institutions that mediate it will bear significant responsibility for its social and economic consequences.</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following chapter develops the historical, structural, and behavioral foundations of that redistribution in full.</w:t>
      </w:r>
    </w:p>
    <w:p>
      <w:pPr>
        <w:pBdr>
          <w:bottom w:val="single" w:color="B8860B" w:sz="6"/>
        </w:pBdr>
        <w:spacing w:after="40" w:before="40"/>
      </w:pPr>
    </w:p>
    <w:p>
      <w:pPr>
        <w:pBdr>
          <w:bottom w:val="single" w:color="B8860B" w:sz="6"/>
        </w:pBdr>
        <w:spacing w:after="40" w:before="40"/>
      </w:pPr>
    </w:p>
    <w:p>
      <w:r>
        <w:br w:type="page"/>
      </w:r>
    </w:p>
    <w:p>
      <w:pPr>
        <w:pStyle w:val="Heading1"/>
        <w:spacing w:after="80" w:before="440"/>
      </w:pPr>
      <w:r>
        <w:rPr>
          <w:rFonts w:ascii="Arial" w:cs="Arial" w:eastAsia="Arial" w:hAnsi="Arial"/>
          <w:b/>
          <w:bCs/>
          <w:caps/>
          <w:color w:val="B8860B"/>
          <w:sz w:val="20"/>
          <w:szCs w:val="20"/>
        </w:rPr>
        <w:t xml:space="preserve">CHAPTER 2</w:t>
      </w:r>
    </w:p>
    <w:p>
      <w:pPr>
        <w:pStyle w:val="Heading1"/>
        <w:spacing w:after="200" w:before="0"/>
      </w:pPr>
      <w:r>
        <w:rPr>
          <w:rFonts w:ascii="Arial" w:cs="Arial" w:eastAsia="Arial" w:hAnsi="Arial"/>
          <w:b/>
          <w:bCs/>
          <w:color w:val="1B2D4F"/>
          <w:sz w:val="36"/>
          <w:szCs w:val="36"/>
        </w:rPr>
        <w:t xml:space="preserve">Introduction: The Great Wealth Transfer and the Reshaping of an Industry</w:t>
      </w:r>
    </w:p>
    <w:p>
      <w:pPr>
        <w:pBdr>
          <w:bottom w:val="single" w:color="B8860B" w:sz="6"/>
        </w:pBdr>
        <w:spacing w:after="40" w:before="40"/>
      </w:pPr>
    </w:p>
    <w:p>
      <w:pPr>
        <w:pStyle w:val="Heading2"/>
        <w:spacing w:after="120" w:before="320"/>
      </w:pPr>
      <w:r>
        <w:rPr>
          <w:rFonts w:ascii="Arial" w:cs="Arial" w:eastAsia="Arial" w:hAnsi="Arial"/>
          <w:b/>
          <w:bCs/>
          <w:color w:val="1B2D4F"/>
          <w:sz w:val="26"/>
          <w:szCs w:val="26"/>
        </w:rPr>
        <w:t xml:space="preserve">2.1 The Historical Scale of the Transfer</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To understand why the Great Wealth Transfer commands the attention of practitioners, regulators, and scholars alike, one must first reckon honestly with its magnitude. The Federal Reserve's flow of funds data places total U.S. household net worth at approximately $156 trillion as of the third quarter of 2024 — a figure that represents the cumulative output of the most productive economy in recorded history, compressed into the financial balance sheets of approximately 131 million households. Against this backdrop, Cerulli Associates' estimate that $84.4 trillion will transfer between generations over the next twenty years, with roughly $53 trillion attributable specifically to Baby Boomer decedents, is not an abstraction; it is a forecast of approximately 54 percent of current total U.S. household wealth changing legal ownership within a single working generation's span of professional practice.</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No prior episode in the history of financial services has presented a comparable structural opportunity or a comparable structural risk. The closest historical analogues — the post–World War II expansion of financial markets, the institutionalization of retirement savings through ERISA and the subsequent 401(k) revolution, the democratization of equity investing through discount brokerage in the 1990s — were demand-side expansions in the population of investable assets. The Great Wealth Transfer is categorically different: it does not expand the total pool of assets so much as it redistributes custodianship of existing assets to a new generation of decision-makers whose relationship with the advisory industry is, at best, provisional. EY analysis estimates that 40 percent of this wealth will have transferred by 2030, meaning that the first and most consequential phase of the redistribution is not a decade away — it has already begun.</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Langley (2026) argues that the framing of this event as a "great opportunity" for advisory firms is itself a partial misreading. The opportunity is real, but the conditions for capturing it are structurally demanding. The behavioral, technological, and ethical expectations of inheriting generations are not merely generational preferences that can be accommodated by minor adjustments to client communication style; they represent a fundamentally different theory of what a financial advisor is for. Lindley (2026) complicates the picture further by identifying several macro-level disruptions — regulatory changes in tax treatment, interest rate volatility, housing market dysfunction, and the behavioral economics of inheritance decision-making — that could materially upend both the timing and the net amount of wealth available for advisory management. The transfer is large, but it is not fully legible in advance, and advisors who assume a smooth, linear flow of assets into their existing portfolios will find the reality considerably more turbulent.</w:t>
      </w:r>
    </w:p>
    <w:p>
      <w:pPr>
        <w:pStyle w:val="Heading2"/>
        <w:spacing w:after="120" w:before="320"/>
      </w:pPr>
      <w:r>
        <w:rPr>
          <w:rFonts w:ascii="Arial" w:cs="Arial" w:eastAsia="Arial" w:hAnsi="Arial"/>
          <w:b/>
          <w:bCs/>
          <w:color w:val="1B2D4F"/>
          <w:sz w:val="26"/>
          <w:szCs w:val="26"/>
        </w:rPr>
        <w:t xml:space="preserve">2.2 The Incumbent Advisory Model and Its Structural Exposures</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dominant model of private wealth management in the United States — advisory relationships centered on individual advisors, built over decades of personal interaction, compensated primarily through AUM-based fees, and delivered through branch-based or telephonic channels — was designed by and for the clients who are now approaching end of life. It is a model that prizes continuity, institutional trust, and personal chemistry over scalability, digital fluency, or intergenerational adaptability. These are virtues precisely suited to the generation of wealth creators it was built to serve, and they are increasingly misaligned with the generation that will inherit the assets those clients have accumulated.</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Capgemini's 2024 World Wealth Report delivers the most arresting empirical indictment of incumbency in this context: 83 percent of HNWI heirs switched their primary wealth manager following an inheritance event. This figure is not a marginal attrition rate; it is a structural repudiation of the incumbency advantage that advisory firms have historically relied upon. The relationship that existed between a deceased parent and their long-tenured advisor conveys almost no protective benefit to that advisor in the eyes of the inheriting child. Cerulli's complementary finding — that only 33 percent of practicing advisors have any documented next-generation engagement strategy — suggests that the industry's response to this threat has been inadequate in both scale and urgency. The heirs who switch do so not primarily for investment performance reasons; research consistently identifies "lack of relationship" as the single most frequently cited reason for advisor change following wealth transfer. Advisors who have not built independent relationships with the next generation before the transfer event are, in most cases, competing for a client who has already decided to leave.</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This structural failure has deeper roots than simple operational neglect. Brenner and Stolper (2020) document the mechanisms through which inheritance events systematically disrupt retirement wealth trajectories, revealing that inherited assets tend to be concentrated in households with existing financial sophistication — precisely the client segment that exercises the most active advisor evaluation. George and Coffi (2022) trace the broader disruption of the financial advisory profession by fintech competition, showing that the erosion of advisor switching costs — once maintained by account transfer friction, proprietary product lock-in, and limited comparative information — has accelerated materially in the digital era. The combination of low switching friction, weak pre-existing relationships, and strong technology alternatives produces a competitive environment in which the default outcome for an incumbent advisor at a wealth transfer event is asset loss, not asset retention.</w:t>
      </w:r>
    </w:p>
    <w:p>
      <w:pPr>
        <w:pStyle w:val="Heading2"/>
        <w:spacing w:after="120" w:before="320"/>
      </w:pPr>
      <w:r>
        <w:rPr>
          <w:rFonts w:ascii="Arial" w:cs="Arial" w:eastAsia="Arial" w:hAnsi="Arial"/>
          <w:b/>
          <w:bCs/>
          <w:color w:val="1B2D4F"/>
          <w:sz w:val="26"/>
          <w:szCs w:val="26"/>
        </w:rPr>
        <w:t xml:space="preserve">2.3 The Behavioral Revolution in Client Expectations</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Beyond the structural vulnerability of incumbent advisors, the Great Wealth Transfer is accompanied by a behavioral revolution in client expectations that reflects both generational values formation and the socialization effects of digital experience. Deloitte research indicates that 45 percent of clients under the age of 45 express a preference for hybrid advisory models — human relationship managers supported by digital delivery infrastructure — rather than purely human or purely automated advice. FINRA data reveals that 56 percent of Americans have no estate plan whatsoever, a figure that signals not financial disengagement but rather the failure of the advisory industry to make the estate planning conversation accessible and comfortable across income and age strata.</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values dimensions of this behavioral shift are equally important. Narayan (2025) documents the philosophical reorientation that characterizes inheriting generations' relationship with wealth: a shift from passive stewardship toward active deployment, from wealth preservation toward impact orientation, and from deference to professional authority toward collaborative co-construction of financial strategy. These are not peripheral preferences. They define the terms on which the client relationship must be conducted if it is to be sustained. Ooi WG (2025) situates this reorientation within a broader framework of "regenerative intelligence" — the capacity of wealth management institutions to align their service architecture with the ecological, social, and governance concerns that inheriting generations bring to their financial decision-making. Advisors who dismiss these concerns as ideological rather than financial fail to understand that for a significant and growing share of the next-generation client base, values alignment is a prerequisite for relationship formation, not a secondary consideration.</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PwC's asset management forecast projects global AUM at $145 trillion by 2025, a figure that underscores the sheer scale of professional discretion being exercised over increasingly diverse client expectations. The central thesis of this dissertation, stated formally here, is that wealth management organizations combining systematic next-generation engagement, AI-augmented service delivery, flexible fee structures, and genuine multigenerational planning competency will disproportionately capture net new assets during the Great Wealth Transfer. This combination is not a product feature set — it is an organizational capability profile, and building it requires strategic decisions that most incumbent firms have not yet made.</w:t>
      </w:r>
    </w:p>
    <w:p>
      <w:pPr>
        <w:pStyle w:val="Heading2"/>
        <w:spacing w:after="120" w:before="320"/>
      </w:pPr>
      <w:r>
        <w:rPr>
          <w:rFonts w:ascii="Arial" w:cs="Arial" w:eastAsia="Arial" w:hAnsi="Arial"/>
          <w:b/>
          <w:bCs/>
          <w:color w:val="1B2D4F"/>
          <w:sz w:val="26"/>
          <w:szCs w:val="26"/>
        </w:rPr>
        <w:t xml:space="preserve">2.4 The Competitive Architecture of the Advisory Industry</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industry into which the Great Wealth Transfer will flow is not monolithic. It comprises three primary competitive categories — wirehouses, independent RIAs, and fintech-native platforms — each with distinctive advantages and vulnerabilities in the context of generational wealth succession. Wirehouses (Merrill Lynch, Morgan Stanley, UBS, Wells Fargo Advisors) command enormous brand recognition and client asset bases, but their advisor retention challenges and cost structures limit their agility. Independent RIAs currently custody approximately $9 trillion in assets and are growing at twice the organic rate of wirehouse competitors, driven by their fiduciary clarity, fee transparency, and advisor entrepreneurialism. Fintech platforms — Betterment, Wealthfront, Vanguard Digital Advisor, and their successors — have demonstrated that automated portfolio management can be delivered at cost points that reshape client price expectations industry-wide.</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strategic question is not which category will "win" in aggregate, but which specific organizational characteristics within each category predict success in retaining and capturing assets at generational transfer events. George and Coffi (2022) argue that the most durable competitive advantage in the post-fintech advisory landscape is not investment performance — which is increasingly commoditized by passive management and AI-driven optimization — but the quality of the advisory relationship and the breadth of the planning competency it encompasses. Advisors and firms that have positioned themselves as trusted family financial architects, rather than portfolio managers, are structurally better positioned to survive transfer events because their value proposition is relationship-based rather than product-based. Langley (2026) reinforces this point, noting that the firms that frame the Great Wealth Transfer as a relationship management challenge rather than a product distribution challenge are the ones beginning to build the capabilities required to address it.</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subsequent chapters of this dissertation develop the empirical foundations, competitive framework, and strategic synthesis required to answer the central thesis with precision and rigor. Chapter 3 reviews the existing academic literature, identifies its limitations, and positions the present contribution within that landscape.</w:t>
      </w:r>
    </w:p>
    <w:p>
      <w:pPr>
        <w:pBdr>
          <w:bottom w:val="single" w:color="B8860B" w:sz="6"/>
        </w:pBdr>
        <w:spacing w:after="40" w:before="40"/>
      </w:pPr>
    </w:p>
    <w:p>
      <w:pPr>
        <w:pBdr>
          <w:bottom w:val="single" w:color="B8860B" w:sz="6"/>
        </w:pBdr>
        <w:spacing w:after="40" w:before="40"/>
      </w:pPr>
    </w:p>
    <w:p>
      <w:r>
        <w:br w:type="page"/>
      </w:r>
    </w:p>
    <w:p>
      <w:pPr>
        <w:pStyle w:val="Heading1"/>
        <w:spacing w:after="80" w:before="440"/>
      </w:pPr>
      <w:r>
        <w:rPr>
          <w:rFonts w:ascii="Arial" w:cs="Arial" w:eastAsia="Arial" w:hAnsi="Arial"/>
          <w:b/>
          <w:bCs/>
          <w:caps/>
          <w:color w:val="B8860B"/>
          <w:sz w:val="20"/>
          <w:szCs w:val="20"/>
        </w:rPr>
        <w:t xml:space="preserve">CHAPTER 3</w:t>
      </w:r>
    </w:p>
    <w:p>
      <w:pPr>
        <w:pStyle w:val="Heading1"/>
        <w:spacing w:after="200" w:before="0"/>
      </w:pPr>
      <w:r>
        <w:rPr>
          <w:rFonts w:ascii="Arial" w:cs="Arial" w:eastAsia="Arial" w:hAnsi="Arial"/>
          <w:b/>
          <w:bCs/>
          <w:color w:val="1B2D4F"/>
          <w:sz w:val="36"/>
          <w:szCs w:val="36"/>
        </w:rPr>
        <w:t xml:space="preserve">Literature Review: Wealth Transfer, Advisor Selection, and the Future of Wealth Management</w:t>
      </w:r>
    </w:p>
    <w:p>
      <w:pPr>
        <w:pBdr>
          <w:bottom w:val="single" w:color="B8860B" w:sz="6"/>
        </w:pBdr>
        <w:spacing w:after="40" w:before="40"/>
      </w:pPr>
    </w:p>
    <w:p>
      <w:pPr>
        <w:pStyle w:val="Heading2"/>
        <w:spacing w:after="120" w:before="320"/>
      </w:pPr>
      <w:r>
        <w:rPr>
          <w:rFonts w:ascii="Arial" w:cs="Arial" w:eastAsia="Arial" w:hAnsi="Arial"/>
          <w:b/>
          <w:bCs/>
          <w:color w:val="1B2D4F"/>
          <w:sz w:val="26"/>
          <w:szCs w:val="26"/>
        </w:rPr>
        <w:t xml:space="preserve">3.1 The State of Scholarship on Intergenerational Wealth Transfer</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academic literature on intergenerational wealth transfer has grown substantially over the past decade, yet it remains fractured across disciplinary silos in ways that limit its practical utility for strategic analysis of the wealth management industry. Peer-reviewed publications addressing "intergenerational wealth transfer" increased by approximately 340 percent between 2015 and 2024, driven by the convergence of demographic urgency — the aging of the Baby Boom cohort — and methodological innovations in longitudinal household wealth data. Nevertheless, Cerulli Associates has identified only twelve academic studies that directly address advisor switching behavior at wealth transfer events, a striking lacuna given the practical importance of that question to the industry. The result is a literature that is rich in description of the phenomenon and theoretically sophisticated about its sociological mechanisms, but underdeveloped in its analysis of the institutional and competitive implications for the advisory profession.</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This chapter reviews the existing scholarship across four domains — wealth inequality and distribution, behavioral finance and investment decision-making, technology adoption and robo-advisory development, and advisor-client relationship dynamics — identifying the contributions and limitations of each, and concluding with a characterization of the gap that the present dissertation is designed to address.</w:t>
      </w:r>
    </w:p>
    <w:p>
      <w:pPr>
        <w:pStyle w:val="Heading2"/>
        <w:spacing w:after="120" w:before="320"/>
      </w:pPr>
      <w:r>
        <w:rPr>
          <w:rFonts w:ascii="Arial" w:cs="Arial" w:eastAsia="Arial" w:hAnsi="Arial"/>
          <w:b/>
          <w:bCs/>
          <w:color w:val="1B2D4F"/>
          <w:sz w:val="26"/>
          <w:szCs w:val="26"/>
        </w:rPr>
        <w:t xml:space="preserve">3.2 Wealth Distribution and Inequality Research</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foundational literature on wealth inequality provides the macroeconomic scaffolding on which any analysis of the Great Wealth Transfer must rest. Killewald and Pfeffer (2018) offer one of the most methodologically rigorous accounts of multigenerational wealth correlation in the contemporary literature, demonstrating that parental wealth advantages extend measurably to grandchildren's outcomes — a finding with direct implications for the temporal horizon of advisory engagement. If the economic effects of wealth transfer persist across multiple generations, then the advisory relationship that succeeds at the point of transfer is not merely capturing a single client event but establishing the conditions for multigenerational institutional continuity. Cooke et al. (2024) extend this analysis by modeling the interaction between differential fertility rates and wealth accumulation, showing that high-wealth households' lower fertility amplifies concentration over time — an insight relevant to forecasting the distribution of inheritances across the client population.</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Nolan et al. (2022) provide one of the most comprehensive empirical accounts of intergenerational wealth transfer in a contemporary developed-economy context, drawing on British household survey data to characterize the volume, composition, and distributional consequences of transfers in the form of inheritances, gifts, and housing equity. Their finding that transfers are highly concentrated in the upper wealth quintiles — with relatively modest amounts reaching lower-income households — has direct implications for advisory strategy: the clients whose behavior matters most to wealth management firms are precisely those for whom inheritance is largest, most tax-consequential, and most likely to trigger active advisor evaluation. This concentration is documented in the U.S. context by Dvir-Djerassi and Pfeffer (2022), who characterize the U.S. wealth distribution as comprehensively "off the charts" by international standards, with the upper tail of the distribution exhibiting a degree of concentration that standard survey instruments systematically underestimate.</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Taylor (2024) contributes a behavioral finance perspective to this structural literature, demonstrating that investor psychology — specifically, loss aversion, overconfidence, and status quo bias — materially shapes the decisions that wealthy households make at moments of financial transition. The behavioral economics of inheritance is distinct from the behavioral economics of active investment: inheritors face a discrete decision event rather than a continuous portfolio management challenge, and the psychological dynamics of grief, family negotiation, and identity formation that accompany inheritance create decision conditions very different from those that portfolio theory typically models. The implication for advisors is that the competency most relevant at a wealth transfer event is not investment expertise per se, but the capacity to navigate the emotional and relational complexity of the transition while simultaneously managing the financial logistics.</w:t>
      </w:r>
    </w:p>
    <w:p>
      <w:pPr>
        <w:pStyle w:val="Heading2"/>
        <w:spacing w:after="120" w:before="320"/>
      </w:pPr>
      <w:r>
        <w:rPr>
          <w:rFonts w:ascii="Arial" w:cs="Arial" w:eastAsia="Arial" w:hAnsi="Arial"/>
          <w:b/>
          <w:bCs/>
          <w:color w:val="1B2D4F"/>
          <w:sz w:val="26"/>
          <w:szCs w:val="26"/>
        </w:rPr>
        <w:t xml:space="preserve">3.3 Behavioral Finance and Generational Investment Decision-Making</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behavioral finance literature most directly relevant to the Great Wealth Transfer is that which addresses generational differences in investment philosophy, risk tolerance, and technology engagement. Chang and Yao (2015) provide an early empirical mapping of the factors that drive customer selection of wealth management services, identifying trust, personalization, and fee transparency as the dominant determinants of advisory choice — findings that have only become more relevant as the competitive environment has intensified. The durability of trust as a selection criterion across generations is confirmed by multiple subsequent studies, though its operational content — what constitutes trustworthy behavior — varies materially between cohorts.</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Turner and Giordano (2020) address the structural tension embedded in AUM-based compensation: advisors paid as a percentage of assets under management face incentive structures that may not align with client interests in all circumstances, including inheritance events at which the financially optimal strategy for the client may involve partial asset withdrawal. The fee structure critique is not merely theoretical; it is one of the most frequently cited reasons that younger, more financially literate inheritors express scepticism about traditional advisory relationships. Understanding this dynamic is essential for any firm attempting to build fee structures that can serve both asset-accumulating Boomer clients and asset-deploying Millennial inheritors within the same organizational framework. Bhardwaj (2025) extends this analysis into the AI era, documenting how machine learning–based fee optimization and portfolio customization tools are beginning to enable advisory firms to offer demonstrably higher personalization at lower cost — a combination that simultaneously addresses the fee transparency concerns of younger clients and the personalization expectations of HNWI households.</w:t>
      </w:r>
    </w:p>
    <w:p>
      <w:pPr>
        <w:pStyle w:val="Heading2"/>
        <w:spacing w:after="120" w:before="320"/>
      </w:pPr>
      <w:r>
        <w:rPr>
          <w:rFonts w:ascii="Arial" w:cs="Arial" w:eastAsia="Arial" w:hAnsi="Arial"/>
          <w:b/>
          <w:bCs/>
          <w:color w:val="1B2D4F"/>
          <w:sz w:val="26"/>
          <w:szCs w:val="26"/>
        </w:rPr>
        <w:t xml:space="preserve">3.4 Technology Adoption and the Robo-Advisory Phenomenon</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technology adoption literature most relevant to this dissertation addresses the rise of automated portfolio management — the so-called robo-advisory sector — and its implications for the human advisory relationship. Robo-advisor assets under management grew from approximately $100 billion in 2016 to approximately $2.8 trillion in 2024, a compound annual growth rate that reflects both the expansion of the addressable market and the progressive legitimization of algorithmic portfolio management among previously skeptical client segments. This growth has not yet displaced human advisors at the high-net-worth tier of the market, but it has fundamentally reshaped client price expectations and the minimum technology infrastructure that any advisory firm must maintain to be considered competent.</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Liu (2026) advances a sophisticated theoretical framework for understanding how artificial intelligence is reshaping the advisory role — not replacing human judgment but augmenting it in ways that amplify advisor capacity while preserving the relational elements that clients value. The "Augmented Advisor Model" that Liu describes is empirically consistent with the hybrid advisory preference documented in the practitioner literature: clients do not want to choose between human relationship and digital capability; they want both, delivered seamlessly. McKinsey research confirms that 68 percent of wealth management executives cite "next-generation client engagement" as their top strategic challenge for 2025 — a remarkably consistent finding that suggests broad leadership awareness of the problem without proportionate action.</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robo-advisory literature also surfaces important limitations of purely automated approaches. Eichler and Schwab (2024) evaluate robo-advisors through the lens of behavioral finance, demonstrating that algorithmic systems optimized for mean-variance efficiency often fail to account for the full complexity of client preferences, particularly in domains such as ESG screening, liquidity management, and tax sensitivity. The behavioral gap — the distance between what an optimized algorithm recommends and what a human client, in their full psychological and situational complexity, actually needs — remains a significant constraint on pure automation. This gap creates a durable competitive space for hybrid models that combine algorithmic efficiency with human interpretive judgment. Capgemini's 2023 survey finding that 71 percent of wealth managers report inadequate technology infrastructure underscores the scale of investment required to close this gap across the industry.</w:t>
      </w:r>
    </w:p>
    <w:p>
      <w:pPr>
        <w:pStyle w:val="Heading2"/>
        <w:spacing w:after="120" w:before="320"/>
      </w:pPr>
      <w:r>
        <w:rPr>
          <w:rFonts w:ascii="Arial" w:cs="Arial" w:eastAsia="Arial" w:hAnsi="Arial"/>
          <w:b/>
          <w:bCs/>
          <w:color w:val="1B2D4F"/>
          <w:sz w:val="26"/>
          <w:szCs w:val="26"/>
        </w:rPr>
        <w:t xml:space="preserve">3.5 Advisor-Client Relationship Dynamics and Competitive Strategy</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literature on advisor-client relationship dynamics — perhaps the most directly practice-relevant strand of the existing scholarship — occupies a relatively small portion of the overall academic output on wealth management. Studies addressing the psychological, behavioral, and economic determinants of client loyalty, advisor switching, and relationship quality at wealth transfer events are notably underrepresented relative to their practical importance.</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Chang and Yao (2015) establish the foundational finding that client selection of wealth management services is driven by a combination of functional competence perceptions and relational trust, with the latter increasingly dominant among high-net-worth clients. Turner and Giordano (2020) examine how compensation structures mediate the trust relationship, finding that fee-based advisors are perceived as more trustworthy than commission-based counterparts, a perception that has contributed to the structural growth of the RIA model. The literature on advisor brand equity — including Ensor et al. (2020) on the independent financial adviser brand equity pyramid — provides a useful framework for understanding how advisory firms build durable institutional reputation as distinct from individual advisor reputation, a distinction that becomes critical at moments of advisor retirement or client death.</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Killewald and Pfeffer (2018) contribute an underappreciated insight to this domain: the multigenerational persistence of wealth advantages means that advisory relationships, if properly managed, are not single-generation client acquisitions but multigenerational institutional relationships with compounding retention value. Firms that understand and operationalize this perspective — investing in next-generation relationships as a long-term asset rather than a cost center — are building a competitive moat that is both economically rational and strategically durable. The gap in the existing literature is the absence of a unified framework that integrates the macroeconomic scale of the transfer, the behavioral characteristics of transferring and receiving generations, the technology architecture of competitive advisory delivery, and the organizational characteristics that predict success through the transition. This dissertation is designed to fill that gap.</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Chapter 4 turns to the demographic foundation of the transfer itself, providing a granular profile of the Boomer and Silent Generation cohorts whose accumulated wealth defines both the scale of the opportunity and the relational heritage that successor advisors must navigate.</w:t>
      </w:r>
    </w:p>
    <w:p>
      <w:pPr>
        <w:pBdr>
          <w:bottom w:val="single" w:color="B8860B" w:sz="6"/>
        </w:pBdr>
        <w:spacing w:after="40" w:before="40"/>
      </w:pPr>
    </w:p>
    <w:p>
      <w:pPr>
        <w:pBdr>
          <w:bottom w:val="single" w:color="B8860B" w:sz="6"/>
        </w:pBdr>
        <w:spacing w:after="40" w:before="40"/>
      </w:pPr>
    </w:p>
    <w:p>
      <w:r>
        <w:br w:type="page"/>
      </w:r>
    </w:p>
    <w:p>
      <w:pPr>
        <w:pStyle w:val="Heading1"/>
        <w:spacing w:after="80" w:before="440"/>
      </w:pPr>
      <w:r>
        <w:rPr>
          <w:rFonts w:ascii="Arial" w:cs="Arial" w:eastAsia="Arial" w:hAnsi="Arial"/>
          <w:b/>
          <w:bCs/>
          <w:caps/>
          <w:color w:val="B8860B"/>
          <w:sz w:val="20"/>
          <w:szCs w:val="20"/>
        </w:rPr>
        <w:t xml:space="preserve">CHAPTER 4</w:t>
      </w:r>
    </w:p>
    <w:p>
      <w:pPr>
        <w:pStyle w:val="Heading1"/>
        <w:spacing w:after="200" w:before="0"/>
      </w:pPr>
      <w:r>
        <w:rPr>
          <w:rFonts w:ascii="Arial" w:cs="Arial" w:eastAsia="Arial" w:hAnsi="Arial"/>
          <w:b/>
          <w:bCs/>
          <w:color w:val="1B2D4F"/>
          <w:sz w:val="36"/>
          <w:szCs w:val="36"/>
        </w:rPr>
        <w:t xml:space="preserve">Demographic Analysis of Wealth Transferors: Baby Boomers and the Silent Generation</w:t>
      </w:r>
    </w:p>
    <w:p>
      <w:pPr>
        <w:pBdr>
          <w:bottom w:val="single" w:color="B8860B" w:sz="6"/>
        </w:pBdr>
        <w:spacing w:after="40" w:before="40"/>
      </w:pPr>
    </w:p>
    <w:p>
      <w:pPr>
        <w:pStyle w:val="Heading2"/>
        <w:spacing w:after="120" w:before="320"/>
      </w:pPr>
      <w:r>
        <w:rPr>
          <w:rFonts w:ascii="Arial" w:cs="Arial" w:eastAsia="Arial" w:hAnsi="Arial"/>
          <w:b/>
          <w:bCs/>
          <w:color w:val="1B2D4F"/>
          <w:sz w:val="26"/>
          <w:szCs w:val="26"/>
        </w:rPr>
        <w:t xml:space="preserve">4.1 The Demographic and Financial Profile of the Transferring Cohorts</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Great Wealth Transfer is, in its immediate dimension, a story about two generational cohorts: the Baby Boomers, born between 1946 and 1964, and the Silent Generation, born between 1928 and 1945. Together, these two groups represent the primary source of the wealth that will move across generational lines over the coming decade, and understanding their demographic, financial, and behavioral characteristics in granular detail is a prerequisite for any serious analysis of the advisory strategies required to serve them — and to retain their assets after they are gone.</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Federal Reserve's 2022 Survey of Consumer Finances places total Baby Boomer household wealth at approximately $78 trillion, representing roughly 50 percent of all U.S. household net worth. The Silent Generation, smaller in number and further advanced in the mortality cycle, accounts for approximately $18 trillion in remaining household wealth, bringing the combined transferable stock to approximately $96 trillion. These aggregate figures, however, conceal distributions of extraordinary skewness: approximately 70 percent of Boomer wealth is held by the top 20 percent of Boomer households (Cerulli Associates), meaning that the advisory market relevant to high-net-worth transfer events is concentrated in a relatively narrow slice of the population. The median Boomer net worth, as reported in the Federal Reserve survey, stands at $409,900, while the mean is $1.83 million — a ratio that reflects the extreme right-skewness of the wealth distribution and signals that the "typical" Boomer client is not representative of the clients whose assets matter most to wealth management firms.</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Nolan et al. (2022) provide comparative evidence from Great Britain showing that this pattern of concentrated intergenerational transfer is not an American idiosyncrasy but a structural feature of developed-economy wealth accumulation over the postwar period. The implication is that any advisory strategy calibrated to the median wealth transferor will systematically mis-serve the high-net-worth tier at which most advisory revenue is generated. Killewald and Pfeffer (2018) reinforce this point by demonstrating that multigenerational wealth advantages are most pronounced precisely in the upper-wealth households — the same households that represent the primary target of advisory retention strategies.</w:t>
      </w:r>
    </w:p>
    <w:p>
      <w:pPr>
        <w:pStyle w:val="Heading2"/>
        <w:spacing w:after="120" w:before="320"/>
      </w:pPr>
      <w:r>
        <w:rPr>
          <w:rFonts w:ascii="Arial" w:cs="Arial" w:eastAsia="Arial" w:hAnsi="Arial"/>
          <w:b/>
          <w:bCs/>
          <w:color w:val="1B2D4F"/>
          <w:sz w:val="26"/>
          <w:szCs w:val="26"/>
        </w:rPr>
        <w:t xml:space="preserve">4.2 Longevity, Long-Term Care, and the Erosion of Transferable Wealth</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One of the most consequential and underappreciated factors in the Great Wealth Transfer calculus is the progressive erosion of transferable wealth through longevity-related expenditure. The transfer is not simply a matter of mortality events triggering estate distributions; it is a process shaped by the interaction of extended longevity, long-term care costs, healthcare expenditure, and retirement drawdown patterns that may consume substantial portions of accumulated wealth before legal transfer occurs.</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LIMRA data indicates that approximately 70 percent of Americans over the age of 65 will require some form of long-term care during their remaining lifetimes. The average cost of long-term care in the United States has risen to approximately $172,000 over the course of a care episode, with high-acuity nursing home care running at $100,000 or more annually in many metropolitan markets. For the majority of Boomer households, whose median wealth of $409,900 places them well within the range at which LTC costs can be financially devastating, the gap between anticipated inheritance and actual transfer may be substantial. Fidelity's research suggests a median Boomer retirement savings shortfall of approximately $187,000, a figure that compounds the LTC risk and implies that many inheritors will receive less than their parents' wealth statements would suggest.</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Cooke et al. (2024) model the interaction between these erosion forces and intergenerational wealth transmission, demonstrating that LTC expenditure systematically advantages the wealthy — who can afford professional management of care decisions, tax-efficient drawdown strategies, and irrevocable trust structures — relative to middle-wealth households, which bear the full actuarial weight of LTC risk unhedged. This dynamic amplifies wealth concentration at the moment of transfer: the households whose inheritances are largest are precisely those with the greatest institutional capacity to protect wealth from LTC and healthcare erosion. Brenner and Stolper (2020) identify a specific "inheritance gap" in retirement wealth outcomes, showing that households without anticipated inheritances face materially worse retirement security trajectories than those expecting transfers — a finding that underscores the degree to which intergenerational transfer has become structurally embedded in American retirement planning.</w:t>
      </w:r>
    </w:p>
    <w:p>
      <w:pPr>
        <w:pStyle w:val="Heading2"/>
        <w:spacing w:after="120" w:before="320"/>
      </w:pPr>
      <w:r>
        <w:rPr>
          <w:rFonts w:ascii="Arial" w:cs="Arial" w:eastAsia="Arial" w:hAnsi="Arial"/>
          <w:b/>
          <w:bCs/>
          <w:color w:val="1B2D4F"/>
          <w:sz w:val="26"/>
          <w:szCs w:val="26"/>
        </w:rPr>
        <w:t xml:space="preserve">4.3 Estate Planning Adoption and Tax Environment</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legal infrastructure of wealth transfer — wills, trusts, beneficiary designations, powers of attorney, and estate tax planning — is the mechanism through which the financial magnitude of transfer is translated into actual advisory activity. The state of that infrastructure across the Boomer population reveals a striking gap between wealth accumulation and transfer preparedness. AARP survey data indicates that only approximately 33 percent of Americans over the age of 55 have a current, legally valid will. IRS statistics on estate tax returns show a dramatic decline in the number of taxable estates: from approximately 108,000 federal estate tax returns filed in 2001 (under a $675,000 exemption threshold) to approximately 6,200 returns in 2022 (under the $12.06 million threshold established by the Tax Cuts and Jobs Act of 2017). While this decline reflects primarily the policy change rather than a reduction in wealthy estates, it has the practical effect of removing most Boomer households from the formal estate planning conversation entirely — and with them, the advisor relationships that estate planning would otherwise cultivate.</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Miller and Maine (2020) provide a comprehensive analysis of wealth transfer tax planning in the post–Tax Cuts and Jobs Act environment, documenting the strategic opportunities created by the elevated exemption threshold and the planning complexity introduced by its scheduled sunset after 2025. The potential reversion of the exemption to pre-TCJA levels — approximately $5–6 million in inflation-adjusted terms — would dramatically increase the population of households for whom estate tax planning becomes financially material, creating a near-term advisory engagement opportunity of considerable magnitude. Jackson's analysis of wealth management and legal structuring in estate planning provides a practitioner-oriented complement to this academic literature, documenting the trust architectures and legal instruments through which advisors can deliver demonstrable tax savings while deepening client relationships. Nolan et al. (2021) extend this analysis to lower-income households, showing that even modest inheritances and gifts can have materially positive effects on financial stability — findings that support the case for extending estate planning services beyond the traditional HNWI tier.</w:t>
      </w:r>
    </w:p>
    <w:p>
      <w:pPr>
        <w:pStyle w:val="Heading2"/>
        <w:spacing w:after="120" w:before="320"/>
      </w:pPr>
      <w:r>
        <w:rPr>
          <w:rFonts w:ascii="Arial" w:cs="Arial" w:eastAsia="Arial" w:hAnsi="Arial"/>
          <w:b/>
          <w:bCs/>
          <w:color w:val="1B2D4F"/>
          <w:sz w:val="26"/>
          <w:szCs w:val="26"/>
        </w:rPr>
        <w:t xml:space="preserve">4.4 Behavioral Profile: Loyalty, In-Person Preference, and Charitable Intent</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behavioral characteristics of Boomer and Silent Generation wealth holders are as important to advisory strategy as their financial statistics. UBS research documents that 67 percent of Boomer ultra-high-net-worth (UHNW) clients describe their primary wealth advisor as a "personal friendship" — a characterization that reflects the relationship depth that long-tenured advisory relationships achieve but also signals the degree to which the advisory value proposition for this cohort rests on interpersonal rather than technical dimensions. These clients are technology-skeptical relative to their successors, strongly prefer in-person or telephonic interaction for consequential financial conversations, and exhibit high advisor loyalty as long as performance and service quality remain acceptable.</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charitable giving dimension of Boomer wealth transfer is substantial and strategically significant. Killewald, Pfeffer, and Schachner (2017) document the role of philanthropic vehicles — charitable remainder trusts, donor-advised funds, family foundations — in the wealth management strategies of upper-quintile households, showing that planned giving decisions are deeply integrated with broader estate planning frameworks. Advisors who can navigate the philanthropic dimension of the wealth transfer conversation are accessing a client value that extends well beyond investment management: they are engaging with the client's legacy identity, a dimension of the relationship that correlates strongly with long-term loyalty and multigenerational family engagement. Brenner and Stolper (2020) note that inheritance decisions are shaped not merely by financial logic but by the moral and interpersonal dynamics of family systems — a recognition that demands of advisors a relational sophistication that portfolio management training does not automatically provide.</w:t>
      </w:r>
    </w:p>
    <w:p>
      <w:pPr>
        <w:pStyle w:val="Heading2"/>
        <w:spacing w:after="120" w:before="320"/>
      </w:pPr>
      <w:r>
        <w:rPr>
          <w:rFonts w:ascii="Arial" w:cs="Arial" w:eastAsia="Arial" w:hAnsi="Arial"/>
          <w:b/>
          <w:bCs/>
          <w:color w:val="1B2D4F"/>
          <w:sz w:val="26"/>
          <w:szCs w:val="26"/>
        </w:rPr>
        <w:t xml:space="preserve">4.5 Geographic Concentration and Advisory Market Implications</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wealth held by Boomer and Silent Generation households is not uniformly distributed geographically; it is concentrated in metropolitan areas characterized by sustained real estate appreciation, high-income professional employment, and robust financial infrastructure. Pierson and Le Galès (2019) document the "superstar city" phenomenon — the concentration of economic productivity and household wealth in a small number of major metropolitan markets — as a driver of durable wealth inequality with direct implications for the geographic strategy of advisory firms. Connor et al. (2024) provide granular spatial data on U.S. wealth distribution from 1960 to 2020, demonstrating that geographic wealth concentration has increased substantially over this period and is particularly pronounced for the asset classes — equity securities, real estate, and private business interests — that constitute the primary holdings of high-wealth Boomer households.</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geographic concentration of transferable wealth means that advisory firms' competitive positions vary enormously by market. A firm with strong RIA penetration in the San Francisco Bay Area, New York metropolitan area, or suburban Chicago is exposed to a fundamentally different competitive environment than one serving secondary markets, not merely in terms of asset scale but in terms of client sophistication, technology expectations, and competitive density. This geographic specificity has strategic implications that aggregate analyses of the transfer tend to obscure.</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Chapter 5 turns to the other side of the transfer equation, providing a comparably granular demographic and behavioral analysis of the Gen X, Millennial, and Gen Z cohorts who will receive these assets and whose expectations will determine the competitive dynamics of the advisory industry for the next thirty years.</w:t>
      </w:r>
    </w:p>
    <w:p>
      <w:pPr>
        <w:pBdr>
          <w:bottom w:val="single" w:color="B8860B" w:sz="6"/>
        </w:pBdr>
        <w:spacing w:after="40" w:before="40"/>
      </w:pPr>
    </w:p>
    <w:p>
      <w:pPr>
        <w:pBdr>
          <w:bottom w:val="single" w:color="B8860B" w:sz="6"/>
        </w:pBdr>
        <w:spacing w:after="40" w:before="40"/>
      </w:pPr>
    </w:p>
    <w:p>
      <w:r>
        <w:br w:type="page"/>
      </w:r>
    </w:p>
    <w:p>
      <w:pPr>
        <w:pStyle w:val="Heading1"/>
        <w:spacing w:after="80" w:before="440"/>
      </w:pPr>
      <w:r>
        <w:rPr>
          <w:rFonts w:ascii="Arial" w:cs="Arial" w:eastAsia="Arial" w:hAnsi="Arial"/>
          <w:b/>
          <w:bCs/>
          <w:caps/>
          <w:color w:val="B8860B"/>
          <w:sz w:val="20"/>
          <w:szCs w:val="20"/>
        </w:rPr>
        <w:t xml:space="preserve">CHAPTER 5</w:t>
      </w:r>
    </w:p>
    <w:p>
      <w:pPr>
        <w:pStyle w:val="Heading1"/>
        <w:spacing w:after="200" w:before="0"/>
      </w:pPr>
      <w:r>
        <w:rPr>
          <w:rFonts w:ascii="Arial" w:cs="Arial" w:eastAsia="Arial" w:hAnsi="Arial"/>
          <w:b/>
          <w:bCs/>
          <w:color w:val="1B2D4F"/>
          <w:sz w:val="36"/>
          <w:szCs w:val="36"/>
        </w:rPr>
        <w:t xml:space="preserve">Demographic Analysis of Wealth Recipients: Gen X, Millennials, and Gen Z</w:t>
      </w:r>
    </w:p>
    <w:p>
      <w:pPr>
        <w:pBdr>
          <w:bottom w:val="single" w:color="B8860B" w:sz="6"/>
        </w:pBdr>
        <w:spacing w:after="40" w:before="40"/>
      </w:pPr>
    </w:p>
    <w:p>
      <w:pPr>
        <w:pStyle w:val="Heading2"/>
        <w:spacing w:after="120" w:before="320"/>
      </w:pPr>
      <w:r>
        <w:rPr>
          <w:rFonts w:ascii="Arial" w:cs="Arial" w:eastAsia="Arial" w:hAnsi="Arial"/>
          <w:b/>
          <w:bCs/>
          <w:color w:val="1B2D4F"/>
          <w:sz w:val="26"/>
          <w:szCs w:val="26"/>
        </w:rPr>
        <w:t xml:space="preserve">5.1 The Heterogeneity of Inheriting Generations</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A central error in practitioner discussions of the Great Wealth Transfer is the treatment of wealth recipients as a monolithic cohort — "the next generation" — whose characteristics can be addressed by a single adaptive strategy. The Federal Reserve's distributional data, behavioral finance research, and technology adoption studies collectively demonstrate that Generation X (born 1965–1980), Millennials (born 1981–1996), and Generation Z (born 1997–2012) are materially different cohorts with distinct financial starting positions, investment philosophies, technology adoption curves, and trust frameworks. Conflating them produces advisory strategies that serve none of them well. The present chapter develops a granular portrait of each cohort's wealth position, behavioral characteristics, and advisory expectations, with particular emphasis on the Millennial generation as the primary near-term inheritance recipient and the Gen Z cohort as the long-term architect of the advisory industry's demand structure.</w:t>
      </w:r>
    </w:p>
    <w:p>
      <w:pPr>
        <w:pStyle w:val="Heading2"/>
        <w:spacing w:after="120" w:before="320"/>
      </w:pPr>
      <w:r>
        <w:rPr>
          <w:rFonts w:ascii="Arial" w:cs="Arial" w:eastAsia="Arial" w:hAnsi="Arial"/>
          <w:b/>
          <w:bCs/>
          <w:color w:val="1B2D4F"/>
          <w:sz w:val="26"/>
          <w:szCs w:val="26"/>
        </w:rPr>
        <w:t xml:space="preserve">5.2 Generation X: The Overlooked Cohort</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Generation X — sometimes called the "sandwich generation" of wealth succession — occupies an analytically important but frequently underexamined position in the transfer narrative. As the children of Silent Generation and early Boomer parents, Gen X is already receiving inheritances at meaningful scale, yet academic and practitioner attention has concentrated disproportionately on the Millennial cohort that follows. The Federal Reserve's Survey of Consumer Finances places Gen X aggregate household wealth at approximately $46 trillion as of 2022 — a figure that reflects several decades of earnings accumulation and, increasingly, first-wave inheritance receipts. The median Gen X net worth significantly exceeds that of younger cohorts but trails that of Boomers, reflecting the generational wealth gradient that the transfer is beginning to compress.</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Gen X's financial profile is shaped by two formative economic traumas: the dot-com collapse of 2000–2002 and the Global Financial Crisis of 2008–2009. Both events occurred during critical wealth-accumulation phases of the Gen X lifecycle, producing a risk-consciousness and skepticism toward financial institutions that is distinct from both Boomer confidence and Millennial tech-optimism. Naanwaab and Antwi (2022) document generational differences in financial risk tolerance empirically, finding that Gen X investors exhibit measurably different risk preference profiles from both their predecessors and successors — a finding with direct implications for portfolio construction and client communication at the wealth management level. The Gen X client segment is large, financially sophisticated, increasingly wealthy through both earned income and inheritance, and systematically underserved by advisory marketing that treats "next-gen" as synonymous with Millennial.</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Nwoke (2025) contextualizes the Gen X wealth position within the broader framework of generational wealth gap dynamics, noting that Gen X experienced the sharpest wealth inequality within its own cohort of any preceding generation — a function of the technology sector's disproportionate enrichment of a small professional class at the expense of a broader majority who experienced stagnant wages and housing market exclusion during the same period. The result is a bimodal Gen X wealth distribution: a high-wealth segment of technology professionals, real estate owners, and business proprietors who are already primary HNWI advisory clients, and a lower-wealth majority for whom inheritance will represent a transformative financial event rather than an incremental addition to existing wealth.</w:t>
      </w:r>
    </w:p>
    <w:p>
      <w:pPr>
        <w:pStyle w:val="Heading2"/>
        <w:spacing w:after="120" w:before="320"/>
      </w:pPr>
      <w:r>
        <w:rPr>
          <w:rFonts w:ascii="Arial" w:cs="Arial" w:eastAsia="Arial" w:hAnsi="Arial"/>
          <w:b/>
          <w:bCs/>
          <w:color w:val="1B2D4F"/>
          <w:sz w:val="26"/>
          <w:szCs w:val="26"/>
        </w:rPr>
        <w:t xml:space="preserve">5.3 Millennials: The Primary Transfer Battleground</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Millennial generation — 72 million Americans born between 1981 and 1996 — represents the single most strategically important cohort for wealth management firms over the next decade. Cerulli Associates estimates that Millennials will receive approximately $27 trillion from Baby Boomers by 2045, with the earliest and largest tranches arriving through the 2030s as Boomer mortality rates peak. The Federal Reserve's 2022 data places total Millennial household wealth at approximately $13.7 trillion — or 8.8 percent of total U.S. household net worth, compared to the Boomers' 50 percent share — a figure that underscores the degree to which Millennial investable assets are currently modest relative to their inheritance expectations.</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This wealth gap is the central structural fact of the Millennial advisory relationship. The median Millennial net worth rose dramatically from approximately $51,000 in 2019 to approximately $127,000 in 2022 — a 149 percent increase driven partly by equity market appreciation, partly by housing market gains, and partly by the asset accumulation effects of pandemic-era fiscal transfers. Vanguard's participant data shows an average Millennial 401(k) balance of approximately $62,400, compared to Gen X's $182,100 — a retirement savings differential that reflects both the shorter accumulation horizon of younger workers and the structural disadvantages (student debt, housing costs, delayed homeownership) that have compressed Millennial wealth accumulation relative to prior generations at comparable life stages. The implication is consequential for advisory strategy: for a large proportion of Millennial households, the inherited wealth they will receive will represent not a supplement to existing investable assets but the primary determinant of their long-term financial security. This elevates the advisor selection decision at the point of inheritance from a routine account transfer to a genuinely high-stakes financial judgment.</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behavioral and philosophical profile of Millennial investors is well documented in the empirical literature. Nigam et al. (2025) examine the effects of digital wealth management platforms on Millennial investment behavior, finding strong preferences for mobile-native interfaces, real-time portfolio visibility, low-friction onboarding, and transparent fee structures — preferences that align naturally with fintech-native platforms and present significant challenges for legacy advisory technology infrastructure. Latif et al. (2025) frame Millennial financial socialization within the broader context of intergenerational education and financial literacy development, showing that Millennial financial behaviors are shaped by both peer network effects and early digital financial socialization in ways that distinguish them from any preceding cohort. Naanwaab and Antwi (2022) document that Millennial risk tolerance patterns differ systematically from those of Gen X and Boomer investors, with Millennials exhibiting more willingness to hold alternative and thematic assets — cryptocurrency, private equity, and ESG-screened securities — alongside conventional diversified portfolios.</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sustainable investing dimension of Millennial preferences deserves particular analytical attention. Morgan Stanley's Institute for Sustainable Investing reports that 85 percent of Millennials express interest in sustainable investing, with 57 percent identifying ESG alignment as a key factor in advisor selection. Siddiqui and Singh (2026) document generational differences in investment choices empirically, confirming that sustainability orientation is not merely a survey-level preference but a behavioral predictor of actual asset allocation decisions among younger cohorts. For wealth management firms, the implication is direct: firms that cannot credibly deliver ESG-integrated portfolio construction and reporting are not merely missing an attractive product feature; they are disqualifying themselves from a meaningful share of the inheriting client market before the advisory conversation begins.</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FINRA's data on financial literacy presents a sobering qualification to this picture: the average Millennial scores approximately 2.9 out of 5 on standardized financial literacy assessments — a level that indicates functional financial awareness but also significant gaps in the technical knowledge required to evaluate complex advisory recommendations, tax optimization strategies, or estate planning instruments. Gao et al. (2025) treat financial illiteracy as a systemic risk, arguing that it amplifies the vulnerability of less-sophisticated investors to both behavioral biases and exploitative advisory practices. For ethical advisory firms, the Millennial financial literacy gap represents an obligation and an opportunity: clients who are engaged as partners in building their own financial understanding are more loyal, more referral-productive, and more resilient to competitive poaching than clients who are managed as passive asset holders.</w:t>
      </w:r>
    </w:p>
    <w:p>
      <w:pPr>
        <w:pStyle w:val="Heading2"/>
        <w:spacing w:after="120" w:before="320"/>
      </w:pPr>
      <w:r>
        <w:rPr>
          <w:rFonts w:ascii="Arial" w:cs="Arial" w:eastAsia="Arial" w:hAnsi="Arial"/>
          <w:b/>
          <w:bCs/>
          <w:color w:val="1B2D4F"/>
          <w:sz w:val="26"/>
          <w:szCs w:val="26"/>
        </w:rPr>
        <w:t xml:space="preserve">5.4 Generation Z: The Long-Term Demand Architecture</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Generation Z — those born between 1997 and 2012, currently ranging in age from approximately 13 to 28 — is the cohort farthest from primary inheritance events but closest to the digital-native advisory paradigm that will define the industry's service standards within a decade. Their current investable assets are modest by definition, but their financial behaviors and expectations are already establishing the default assumptions against which all future advisory relationships will be evaluated.</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CFA Institute (2023) provides the most comprehensive empirical portrait of Gen Z investment behavior currently available in the peer-reviewed literature. Among its most striking findings: 45 percent of Gen Z investors cite social media as their primary source of investment information; 55 percent report owning cryptocurrency; and the influence of peer networks and digital content creators on financial decision-making is substantially greater for Gen Z than for any preceding cohort. These findings reflect not financial naivety but a fundamental shift in the epistemology of financial advice — from credentialed institutional authority toward distributed, democratized, and often informal information networks. Rithmaya et al. (2023) extend this analysis, showing that Gen Z investment decisions are characterized by a strong preference for self-directed research and a skepticism toward traditional advisory authority that is both generational and structural.</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Konstantinou and Jones (2022) examine Gen Z attitudes toward charitable giving, finding high levels of philanthropic engagement and social values orientation among the youngest cohort of investors — a pattern consistent with the broader values alignment imperative that the wealth management industry will need to address. Kolomazník et al. (2019) document Millennial and Gen Z awareness of social responsibility in financial contexts, establishing the empirical basis for the claim that ESG and impact investing preferences are not a boutique market segment but a mainstream expectation among the two cohorts who will dominate advisory client rolls within fifteen years.</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advisory technology expectations of Gen Z are best understood not as preferences but as baseline requirements. Schwab data indicates that 72 percent of Millennials would consider using a robo-advisor for some or all of their portfolio management needs, while only 29 percent of Boomers say the same. Gen Z data, where available, suggests adoption rates still higher, consistent with a generation for whom digital-native financial services — Robinhood, Coinbase, Cash App, and their successors — are the formative reference point for what financial infrastructure looks and feels like. Nigam et al. (2025) argue that the implication for traditional advisory firms is not that they must become robo-advisors, but that they must deliver the responsiveness, transparency, and digital accessibility of digital-first platforms as a baseline, while adding the human judgment, behavioral coaching, and holistic planning depth that automated platforms cannot replicate.</w:t>
      </w:r>
    </w:p>
    <w:p>
      <w:pPr>
        <w:pStyle w:val="Heading2"/>
        <w:spacing w:after="120" w:before="320"/>
      </w:pPr>
      <w:r>
        <w:rPr>
          <w:rFonts w:ascii="Arial" w:cs="Arial" w:eastAsia="Arial" w:hAnsi="Arial"/>
          <w:b/>
          <w:bCs/>
          <w:color w:val="1B2D4F"/>
          <w:sz w:val="26"/>
          <w:szCs w:val="26"/>
        </w:rPr>
        <w:t xml:space="preserve">5.5 The Convergence Imperative: Designing for a Multi-Generational Client Base</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demographic portrait developed across Chapters 4 and 5 collectively defines the strategic challenge that the central thesis of this dissertation addresses. Wealth management firms that will succeed during the Great Wealth Transfer must serve, simultaneously and without significant service-quality degradation, client cohorts whose expectations are systematically different across virtually every dimension of the advisory relationship: channel preference (in-person vs. digital), fee sensitivity (high vs. moderate), technology fluency (low vs. high), values orientation (preservation vs. impact), investment philosophy (conventional vs. alternative), and risk tolerance (conservative vs. experimental). The clients who hold the wealth today — predominantly Boomers and Silent Generation — will transfer that wealth to clients whose expectations represent an almost categorical departure from the service model built to serve their predecessors.</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Nwoke (2025) characterizes this challenge as a "bridging" problem: firms must build bridges between generational expectations without abandoning the service quality that justifies their value proposition to existing clients. CFA Institute (2023) and Siddiqui and Singh (2026) together document the technological and behavioral parameters of what those bridges must look like from the recipient cohorts' perspective. Latif et al. (2025) provide evidence that financial literacy interventions — educational engagement that treats the next-generation client as a partner in knowledge development rather than a passive beneficiary — are effective in building the relationship foundations that survive inheritance events. The synthesis of these findings points to an organizational model in which the advisor's role is systematically expanded from portfolio manager to multigenerational family financial educator, planner, and coach — a role that requires investment in capability, technology, and organizational culture that goes substantially beyond the incremental adaptations most firms have implemented to date.</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Chapter 6 will examine the competitive architecture of the advisory industry in detail, analyzing how wirehouse, RIA, and fintech-native platforms are currently positioned relative to the strategic requirements identified in Chapters 4 and 5, and identifying the organizational characteristics that predict competitive success through the generational transition ahead.</w:t>
      </w:r>
    </w:p>
    <w:p>
      <w:r>
        <w:br w:type="page"/>
      </w:r>
    </w:p>
    <w:p>
      <w:pPr>
        <w:pStyle w:val="Heading1"/>
        <w:spacing w:after="80" w:before="440"/>
      </w:pPr>
      <w:r>
        <w:rPr>
          <w:rFonts w:ascii="Arial" w:cs="Arial" w:eastAsia="Arial" w:hAnsi="Arial"/>
          <w:b/>
          <w:bCs/>
          <w:caps/>
          <w:color w:val="B8860B"/>
          <w:sz w:val="20"/>
          <w:szCs w:val="20"/>
        </w:rPr>
        <w:t xml:space="preserve">CHAPTER 6</w:t>
      </w:r>
    </w:p>
    <w:p>
      <w:pPr>
        <w:pStyle w:val="Heading1"/>
        <w:spacing w:after="200" w:before="0"/>
      </w:pPr>
      <w:r>
        <w:rPr>
          <w:rFonts w:ascii="Arial" w:cs="Arial" w:eastAsia="Arial" w:hAnsi="Arial"/>
          <w:b/>
          <w:bCs/>
          <w:color w:val="1B2D4F"/>
          <w:sz w:val="36"/>
          <w:szCs w:val="36"/>
        </w:rPr>
        <w:t xml:space="preserve">Geography of the Wealth Transfer</w:t>
      </w:r>
    </w:p>
    <w:p>
      <w:pPr>
        <w:pBdr>
          <w:bottom w:val="single" w:color="B8860B" w:sz="6"/>
        </w:pBdr>
        <w:spacing w:after="40" w:before="40"/>
      </w:pPr>
    </w:p>
    <w:p>
      <w:pPr>
        <w:pStyle w:val="Heading2"/>
        <w:spacing w:after="120" w:before="320"/>
      </w:pPr>
      <w:r>
        <w:rPr>
          <w:rFonts w:ascii="Arial" w:cs="Arial" w:eastAsia="Arial" w:hAnsi="Arial"/>
          <w:b/>
          <w:bCs/>
          <w:color w:val="1B2D4F"/>
          <w:sz w:val="26"/>
          <w:szCs w:val="26"/>
        </w:rPr>
        <w:t xml:space="preserve">The Spatial Architecture of Inherited Wealth</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intergenerational wealth transfer unfolding over the next decade is not a uniform phenomenon distributed evenly across American households and markets. It is, in its essential character, a geographically concentrated event — a vast movement of capital from one generation to the next that is architecturally shaped by the extreme spatial clustering of household wealth in the United States and, analogously, in comparable high-income economies. Any strategic analysis of which wealth management teams will be best positioned to win during this transfer must therefore begin with an honest reckoning of the geographic map of wealth: where it sits today, where it is migrating, and how that spatial reality creates differential structural advantages among advisory firms.</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empirical foundation for understanding wealth's spatial architecture has been substantially advanced by the GEOWEALTH-US dataset, which provides granular, ZIP-code-level estimates of household wealth across the United States from 1960 through 2020 (Connor et al., 2024). The dataset's core finding is stark: the top one percent of ZIP codes contain approximately thirty-six percent of all U.S. household wealth. This concentration is not merely a feature of a handful of coastal megacities — it reflects a deeply entrenched pattern in which productive assets, financial portfolios, real estate equity, and business ownership cluster in specific metropolitan submarkets, reinforcing themselves across generations through inheritance, network effects, and access to elite professional services. The wealth Gini coefficient — a summary measure of inequality in the distribution of household wealth — varies meaningfully across states, ranging from approximately 0.61 in relatively egalitarian Midwestern states such as Iowa to 0.79 in New York, reflecting the extraordinary concentration of financial and real estate assets at the top of the metropolitan wealth distribution (Connor et al., 2024). These figures are consistent with the broader national picture documented by Dvir-Djerassi and Pfeffer (2022), whose analysis of the Survey of Consumer Finances and Federal Reserve distributional accounts confirms that U.S. wealth distribution operates in a regime that is, in statistical terms, genuinely off the charts relative to the income distribution — characterized by a fat upper tail that standard inequality measures systematically underestimate.</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This spatial concentration has direct operational consequences for wealth management firms. New York City alone hosts an estimated 345,600 millionaires — more than any other city globally — while the broader New York metropolitan statistical area encompasses a density of ultra-high-net-worth households unmatched anywhere in the world. The Internal Revenue Service's estate tax filing data confirms that New York, California, Florida, Texas, and Illinois account for a disproportionate share of federal estate tax returns, reflecting both the concentration of taxable estates and the elevated property values in those states. For wealth management firms, this creates what economists would recognize as a winner-take-most market structure: firms with deep, established local presence in these wealth-concentration corridors enjoy enormous durable advantages in advisor-client proximity, center-of-influence networks, and institutional trust built over decades. The advisory ecosystem surrounding these wealth concentrations — estate attorneys, family office consultants, trust officers, private bankers, tax counsel — is itself a geographic phenomenon, and firms embedded in these ecosystems benefit from referral networks that are extraordinarily difficult to replicate from a distance (Killewald, Pfeffer &amp; Schachner, 2017).</w:t>
      </w:r>
    </w:p>
    <w:p>
      <w:pPr>
        <w:pStyle w:val="Heading2"/>
        <w:spacing w:after="120" w:before="320"/>
      </w:pPr>
      <w:r>
        <w:rPr>
          <w:rFonts w:ascii="Arial" w:cs="Arial" w:eastAsia="Arial" w:hAnsi="Arial"/>
          <w:b/>
          <w:bCs/>
          <w:color w:val="1B2D4F"/>
          <w:sz w:val="26"/>
          <w:szCs w:val="26"/>
        </w:rPr>
        <w:t xml:space="preserve">The Sun Belt Realignment and the AUM Migration Risk</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geographic analysis cannot, however, rest on a static snapshot of where wealth currently sits. The post-pandemic period has produced a migration dynamic of unusual scale and financial consequence. United States Postal Service change-of-address data and Census Bureau migration estimates, analyzed in conjunction with IRS Statistics of Income data, document a net domestic migration of approximately 500,000 high-income households annually from California, New York, and New Jersey to Florida, Texas, Tennessee, and other Sun Belt states between 2020 and 2023. These are not moves of middle-class families seeking lower housing costs; they include substantial concentrations of high-net-worth and ultra-high-net-worth households — executives, entrepreneurs, and financial professionals — attracted by the absence of state income tax, lower cost of living relative to coastal metros, and a perceived quality-of-life reorientation accelerated by pandemic-era remote-work normalization. The financial consequence of this migration is an estimated two hundred billion dollars or more in assets under management that are effectively in play — households whose primary advisory relationships were established in New York or California and who, upon relocating, face a decision about whether to maintain those relationships across geographies or to establish new ones with local advisors in their destination markets.</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This creates what may be characterized as the AUM migration risk: a latent competition for wallet-share that is triggered not by investment performance failures or fee dissatisfaction, but simply by geographic disruption of the social and professional relationships that underpin advisory loyalty. Miami, Austin, Dallas, Phoenix, and Nashville have emerged as the principal destination markets for this migration, and each city has seen a corresponding acceleration in wealth management firm activity — new RIA registrations, branch office openings by national wirehouses, and the establishment of multi-family office outposts catering to the relocated wealthy. The firms best positioned to capture migrating AUM are those capable of providing seamless continuity of advisory service across the transition — not merely maintaining the existing relationship through digital means, but actively deploying local professionals in destination markets who can re-anchor the client relationship in the new geographic context (Pierson &amp; Le Galès, 2019). The "superstar city" framework advanced by Pierson and Le Galès (2019) is instructive here: while New York and San Francisco retain structural economic advantages that will ensure continued wealth generation, the partial decoupling of residence from economic participation enabled by digital connectivity means that wealth management firms can no longer assume that physical proximity in legacy wealth centers is sufficient to maintain client relationships formed there.</w:t>
      </w:r>
    </w:p>
    <w:p>
      <w:pPr>
        <w:pStyle w:val="Heading2"/>
        <w:spacing w:after="120" w:before="320"/>
      </w:pPr>
      <w:r>
        <w:rPr>
          <w:rFonts w:ascii="Arial" w:cs="Arial" w:eastAsia="Arial" w:hAnsi="Arial"/>
          <w:b/>
          <w:bCs/>
          <w:color w:val="1B2D4F"/>
          <w:sz w:val="26"/>
          <w:szCs w:val="26"/>
        </w:rPr>
        <w:t xml:space="preserve">Rural-Urban Wealth Divergence and the Advisory Coverage Gap</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spatial analysis of wealth transfer must also account for the persistent and widening divergence between urban and rural household wealth. Federal Reserve data document a median rural household net worth of approximately $165,000, compared to approximately $280,000 for urban households — a gap that reflects differential access to labor markets, appreciated real estate, and financial assets that compound over generations. This divergence has profound implications for the structure of the intergenerational transfer: rural households transferring wealth face a substantially different advisory landscape than their urban counterparts, with fewer specialized estate attorneys, fewer fee-only RIAs, and greater reliance on commission-based insurance and brokerage products that may not serve the complexity of their planning needs. The scholarly literature on intergenerational wealth transfers in the United Kingdom provides useful comparative evidence: Nolan et al. (2022) document that the concentration of inheritance receipts among already-wealthy households means that the wealth transfer reinforces rather than reduces inequality, with recipients in the top wealth quintile capturing a disproportionate share of total bequest value. The advisory infrastructure to serve this transfer is similarly concentrated — urban, credentialed, and oriented toward the wealthy households who generate the most fee revenue.</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For wealth management firms with genuine geographic ambitions, the rural-urban gap represents both a market failure and an opportunity. The mass-affluent and lower-HNWI segments in secondary and tertiary markets are underserved by sophisticated estate and investment planning, creating conditions in which firms capable of deploying scalable digital advisory capacity — combined with periodic in-person service through hub-and-spoke models — could capture a meaningful share of the transfer at unit economics that are viable at lower average account sizes (Spiteri &amp; von Brockdorff, 2022).</w:t>
      </w:r>
    </w:p>
    <w:p>
      <w:pPr>
        <w:pStyle w:val="Heading2"/>
        <w:spacing w:after="120" w:before="320"/>
      </w:pPr>
      <w:r>
        <w:rPr>
          <w:rFonts w:ascii="Arial" w:cs="Arial" w:eastAsia="Arial" w:hAnsi="Arial"/>
          <w:b/>
          <w:bCs/>
          <w:color w:val="1B2D4F"/>
          <w:sz w:val="26"/>
          <w:szCs w:val="26"/>
        </w:rPr>
        <w:t xml:space="preserve">International Dimensions of Geographic Concentration</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geographic analysis extends beyond American borders. The Capgemini World Wealth Report's 2024 data indicate that Asia-Pacific high-net-worth individual wealth grew 4.2 percent year-over-year to reach $24.2 trillion, driven primarily by wealth creation in China, India, Australia, and Japan. The UBS Global Wealth Report documents the remarkable cross-national variation in median wealth per adult: Switzerland, the United States, Hong Kong, Australia, and Denmark register median adult wealth in a range of approximately $168,000 to $685,000, reflecting the combined effect of real estate appreciation, pension system generosity, and financial asset accumulation that characterizes advanced-economy wealth formation. The United Kingdom presents a particularly instructive parallel to the U.S. context: Nolan et al. (2022) document that British intergenerational transfers are similarly concentrated in London and the Southeast, with the spatial clustering of housing wealth in those regions creating a geographic inheritance premium for heirs who received property in high-appreciation markets. Australian and East Asian wealth management markets are experiencing comparable transfer dynamics, as the post-war generation that accumulated wealth through business ownership and property appreciation approaches the end of life. Spiteri and von Brockdorff (2022) document analogous patterns in the Euro Area, where household wealth and inheritance flows are concentrated in Germany, France, and the Netherlands, with Southern European households facing the transfer with substantially lower asset bases and more complex family governance arrangements.</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global geography of wealth transfer creates strategic questions for internationally oriented advisory firms — particularly those serving UHNW clients with cross-border holdings, offshore trust structures, and multinational family businesses. For these clients, geographic presence in multiple jurisdictions, combined with coordination capacity across tax and legal regimes, is not merely a value-added service but a fundamental prerequisite of competent planning.</w:t>
      </w:r>
    </w:p>
    <w:p>
      <w:pPr>
        <w:pStyle w:val="Heading2"/>
        <w:spacing w:after="120" w:before="320"/>
      </w:pPr>
      <w:r>
        <w:rPr>
          <w:rFonts w:ascii="Arial" w:cs="Arial" w:eastAsia="Arial" w:hAnsi="Arial"/>
          <w:b/>
          <w:bCs/>
          <w:color w:val="1B2D4F"/>
          <w:sz w:val="26"/>
          <w:szCs w:val="26"/>
        </w:rPr>
        <w:t xml:space="preserve">Strategic Implications: Local Presence, Digital Reach, and the Corridor Model</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synthesis of these geographic observations points toward a strategic framework for firms seeking to win the wealth transfer: what may be called the corridor model. The most durable competitive positions will belong to firms that combine deep, institutionally embedded local presence in established wealth concentration corridors — the New York, Los Angeles, San Francisco, Chicago, and Boston metropolitan areas — with credible, scalable digital reach capable of following clients who migrate to Sun Belt destinations and of engaging heirs who may be geographically dispersed relative to the parent's primary advisor relationship. Neither local presence alone nor digital capability alone is sufficient. Local presence without digital reach means the firm hemorrhages assets as clients migrate; digital reach without local presence means the firm lacks the social infrastructure — the trust networks, the referral relationships, the family office integration — to win new mandates in competitive markets.</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geographic evidence assembled by Connor et al. (2024), read alongside the macrosociological analysis of inequality persistence advanced by Killewald, Pfeffer, and Schachner (2017), suggests that the wealth transfer will not produce a meaningful geographic rebalancing of financial capital. Wealth will remain concentrated in a handful of metropolitan areas even as some migration occurs; the estates being transferred are the accumulated result of decades of asset appreciation in markets defined by geographic scarcity and network advantage. Firms that misread the migration data as evidence of a wholesale geographic shift — and disinvest from legacy wealth centers to chase Sun Belt growth — will find themselves poorly positioned on both fronts. The winning geography is not a binary choice between legacy and emerging markets; it is a portfolio strategy covering both.</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following chapter turns from the spatial architecture of wealth to the psychological architecture of the advisor-client relationship — examining how trust is formed, how it fractures at moments of inheritance, and why systematic engagement with the next generation is the most consequential investment an advisory team can make.</w:t>
      </w:r>
    </w:p>
    <w:p>
      <w:pPr>
        <w:pBdr>
          <w:bottom w:val="single" w:color="B8860B" w:sz="6"/>
        </w:pBdr>
        <w:spacing w:after="40" w:before="40"/>
      </w:pPr>
    </w:p>
    <w:p>
      <w:r>
        <w:br w:type="page"/>
      </w:r>
    </w:p>
    <w:p>
      <w:pPr>
        <w:pStyle w:val="Heading1"/>
        <w:spacing w:after="80" w:before="440"/>
      </w:pPr>
      <w:r>
        <w:rPr>
          <w:rFonts w:ascii="Arial" w:cs="Arial" w:eastAsia="Arial" w:hAnsi="Arial"/>
          <w:b/>
          <w:bCs/>
          <w:caps/>
          <w:color w:val="B8860B"/>
          <w:sz w:val="20"/>
          <w:szCs w:val="20"/>
        </w:rPr>
        <w:t xml:space="preserve">CHAPTER 7</w:t>
      </w:r>
    </w:p>
    <w:p>
      <w:pPr>
        <w:pStyle w:val="Heading1"/>
        <w:spacing w:after="200" w:before="0"/>
      </w:pPr>
      <w:r>
        <w:rPr>
          <w:rFonts w:ascii="Arial" w:cs="Arial" w:eastAsia="Arial" w:hAnsi="Arial"/>
          <w:b/>
          <w:bCs/>
          <w:color w:val="1B2D4F"/>
          <w:sz w:val="36"/>
          <w:szCs w:val="36"/>
        </w:rPr>
        <w:t xml:space="preserve">Client Psychology and Advisor Selection</w:t>
      </w:r>
    </w:p>
    <w:p>
      <w:pPr>
        <w:pBdr>
          <w:bottom w:val="single" w:color="B8860B" w:sz="6"/>
        </w:pBdr>
        <w:spacing w:after="40" w:before="40"/>
      </w:pPr>
    </w:p>
    <w:p>
      <w:pPr>
        <w:pStyle w:val="Heading2"/>
        <w:spacing w:after="120" w:before="320"/>
      </w:pPr>
      <w:r>
        <w:rPr>
          <w:rFonts w:ascii="Arial" w:cs="Arial" w:eastAsia="Arial" w:hAnsi="Arial"/>
          <w:b/>
          <w:bCs/>
          <w:color w:val="1B2D4F"/>
          <w:sz w:val="26"/>
          <w:szCs w:val="26"/>
        </w:rPr>
        <w:t xml:space="preserve">The Trust-Formation Problem in Wealth Advisory</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selection of a wealth management advisor is, in mainstream economic theory, an optimization problem: a rational agent surveys the available providers, evaluates their investment performance records, fee structures, service capabilities, and credentials, and selects the provider that maximizes expected utility. This framing is not merely incomplete — it is systematically misleading as a guide to strategy. The empirical literature on client behavior in financial services, and the broader social-psychological literature on trust formation in high-stakes advisory relationships, converges on a fundamentally different account: advisor selection is a trust-formation process in which perceived competence, emotional resonance, social proof, and narrative coherence play dominant roles, while fee arithmetic and quantified performance history play secondary ones. Understanding the psychological mechanisms that govern how clients choose, commit to, and ultimately leave advisors is prerequisite knowledge for any firm designing acquisition and retention strategies for the wealth transfer era.</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primacy of trust as a selection criterion is not in dispute. Survey evidence consistently identifies trust and confidence in the advisor as the single most important criterion cited by high-net-worth individuals when selecting a wealth management relationship, surpassing investment performance track record, firm reputation, and fee level as stated determinants. This finding reflects what social psychologists recognize as the fundamental asymmetry of professional service relationships: because investment outcomes are uncertain, multi-determined, and evaluated only over long time horizons, clients cannot reliably assess competence ex ante or even ex post. In the absence of verifiable performance signals, trust — built through communication quality, perceived attentiveness, responsiveness to emotional cues, and evidence of personalized understanding — becomes the primary substrate on which the advisory relationship is constructed (Bossomaier &amp; Standish, 2008). The simulation work of Bossomaier and Standish (2008) on trust dynamics in wealth management advisor relationships demonstrates that trust accumulation follows a nonlinear path: small early investments in relationship quality produce disproportionate long-run loyalty, while early failures of attentiveness generate persistent suspicion that is difficult to reverse even through subsequent excellent service.</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psychological needs that motivate engagement with a wealth advisor extend beyond the purely instrumental desire for portfolio returns. Hoang et al. (2022) demonstrate that clients' loyalty to their advisors is significantly mediated by the degree to which the advisory relationship satisfies underlying psychological needs — for competence validation, autonomy support, and relatedness — alongside perceived financial well-being. This finding has important practical implications: advisors who position themselves purely as portfolio engineers, optimizing risk-adjusted returns and tax efficiency, are addressing only the instrumental layer of client motivation. Those who attend to the full psychological structure of the relationship — acknowledging anxiety, validating complexity, affirming the client's judgment where appropriate, and providing the experience of being genuinely understood — generate qualitatively superior loyalty that is substantially more resistant to competitive poaching (Hoang et al., 2022). The distinction between financial advisory and financial coaching is, in this light, not merely a marketing positioning choice; it reflects a deep difference in the relational model being offered.</w:t>
      </w:r>
    </w:p>
    <w:p>
      <w:pPr>
        <w:pStyle w:val="Heading2"/>
        <w:spacing w:after="120" w:before="320"/>
      </w:pPr>
      <w:r>
        <w:rPr>
          <w:rFonts w:ascii="Arial" w:cs="Arial" w:eastAsia="Arial" w:hAnsi="Arial"/>
          <w:b/>
          <w:bCs/>
          <w:color w:val="1B2D4F"/>
          <w:sz w:val="26"/>
          <w:szCs w:val="26"/>
        </w:rPr>
        <w:t xml:space="preserve">The Advisor Selection Process: Social Proof and Perceived Competence</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research literature on how clients actually form preferences among competing advisors reveals a process that is more social than analytical. Chang and Yao (2015) document that customers selecting wealth management services rely heavily on recommendations from trusted peers and professional networks, on the reputation of the advisor's firm, and on qualitative assessments derived from initial consultations — in that order — while objective measures of investment performance are cited less frequently and weighted less heavily than might be expected. This is not irrationality; it is a rational response to the genuine difficulty of evaluating investment competence before a long-term relationship has been tested. Social proof — the recommendation of a trusted peer who has experienced the advisor's service — provides a credibility signal that is difficult for marketing materials or credentials to replicate (Chang &amp; Yao, 2015).</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implications of social proof primacy for advisor strategy are significant: it means that the referral network is not merely a client acquisition channel among others, but rather the channel most deeply aligned with how trust-formation works in the minds of prospective HNW clients. An advisor with a systematically cultivated referral network — maintained through regular touchpoints with attorneys, CPAs, trust officers, and existing clients who are active connectors — occupies a structurally advantaged position relative to an advisor who relies on digital marketing, advertising, or cold outreach, regardless of the latter's investment capability. This point will receive fuller treatment in Chapter 10; what is relevant here is the psychological mechanism that makes referral so powerful: the transferred trust of the referring party substantially reduces the prospective client's perceived risk in initiating the relationship, compressing what would otherwise be a lengthy trust-building period (Richards).</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role of perceived competence — as distinct from demonstrated competence — is equally important. Mackinger, Mühlberger, and Jonas (2017) examine what happens when advisors' true intentions are brought into question by clients, finding that suspicion of self-interested advice systematically undermines the advisory relationship even when the advice itself is objectively sound. The perceived alignment of advisor incentives with client interests is a prerequisite for the trust state that allows the advisory relationship to function as intended. This finding has direct implications for fee structure design, discussed in Chapter 8: fee models that make the advisor's economic interests visibly aligned with the client's outcomes — rather than with the volume of assets under management, the number of transactions executed, or the margins on proprietary products — are not merely regulatory compliance tools but psychological trust-building instruments.</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Jaquiery and Yeung (2024) add an important nuance: clients do not simply seek advisors who agree with them, but advisors whose expressions of agreement are perceived as both accurate and authentic. In experimental settings, clients distinguish between advisors who confirm their views because they share them and those who do so strategically to manage the relationship — and the former generates substantially stronger trust than the latter. This finding implies that advisors who cultivate genuine intellectual alignment with their clients' values, priorities, and frameworks — rather than deploying tactical agreement as a relationship management technique — build more durable relationships. The practical implication is that advisor-client fit, understood in terms of genuine value and worldview alignment, is not a soft consideration but a structural determinant of relationship quality (Jaquiery &amp; Yeung, 2024).</w:t>
      </w:r>
    </w:p>
    <w:p>
      <w:pPr>
        <w:pStyle w:val="Heading2"/>
        <w:spacing w:after="120" w:before="320"/>
      </w:pPr>
      <w:r>
        <w:rPr>
          <w:rFonts w:ascii="Arial" w:cs="Arial" w:eastAsia="Arial" w:hAnsi="Arial"/>
          <w:b/>
          <w:bCs/>
          <w:color w:val="1B2D4F"/>
          <w:sz w:val="26"/>
          <w:szCs w:val="26"/>
        </w:rPr>
        <w:t xml:space="preserve">The Inheritance Event as a Psychological Inflection Point</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most consequential implication of the client psychology literature for wealth transfer strategy concerns what happens at the moment of inheritance. The death or incapacity of a parent — the primary event that triggers the intergenerational transfer of assets — is simultaneously a profound emotional disruption and a moment of heightened financial evaluation. The heir enters a psychological state characterized by grief, existential reckoning, and a sudden increase in financial complexity and responsibility. In this state, the heir's relationship to the deceased parent's advisors becomes acutely salient: the advisor is encountered not as a neutral financial professional but as a figure associated with the parent's world, the parent's values, and the process of distributing a deeply personal legacy.</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empirical evidence on what happens at this inflection point is unambiguous and strategically alarming for advisors who have not proactively engaged with their clients' heirs. Cerulli Associates' survey data document that forty-six percent of clients who inherit assets switch advisors within twelve months of the inheritance event. EY's 2023 advisor relationship study finds that seventy-four percent of inheritors who switch advisors do so citing the same reason: the incumbent advisor "never reached out to me personally." These figures represent one of the most striking empirical regularities in the wealth management literature: the single most predictive factor in whether an inherited account is retained is whether the heir had a pre-existing personal relationship with the advisor — and the overwhelming majority of advisors, despite managing the assets of aging clients for decades, have made no systematic effort to establish such relationships with those clients' children and grandchildren.</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psychological logic underlying these figures is straightforward. When a prospective heir — who may have heard their parent speak of "their advisor" for years but has never met the person — is suddenly confronted with a large financial decision at a moment of emotional vulnerability, they face a choice between two defaults. If the incumbent advisor has proactively established a relationship — has met the heir, understands their financial situation, has communicated during the estate planning process — the path of least resistance is continuity. The heir need not conduct a competitive evaluation under duress; the trust infrastructure is already in place. If the incumbent advisor has made no such investment, the heir's default is evaluation: they will seek referrals, conduct research, and frequently select an advisor who reflects their own generational identity and communication preferences rather than their parent's (Liu, 2026).</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psychological dynamics of this evaluation process are further shaped by generational differences in what clients seek from advisory relationships. Narayan (2025) documents that younger inheritors — Millennials and Gen Z heirs who are receiving wealth transfers at earlier ages due to declining parental longevity trajectories — express distinctly different preferences for the advisory relationship than their parents: they prefer advisors who function as financial coaches rather than portfolio managers, who communicate digitally and on-demand rather than through scheduled quarterly reviews, and who are transparent about fee structures and conflicts of interest in ways that earlier generations did not demand. The advisor who maximizes retention of inherited assets is one who has already adapted to this preference profile — not one who attempts to adapt after the transfer has already occurred and the heir is in active evaluation mode (Narayan, 2025).</w:t>
      </w:r>
    </w:p>
    <w:p>
      <w:pPr>
        <w:pStyle w:val="Heading2"/>
        <w:spacing w:after="120" w:before="320"/>
      </w:pPr>
      <w:r>
        <w:rPr>
          <w:rFonts w:ascii="Arial" w:cs="Arial" w:eastAsia="Arial" w:hAnsi="Arial"/>
          <w:b/>
          <w:bCs/>
          <w:color w:val="1B2D4F"/>
          <w:sz w:val="26"/>
          <w:szCs w:val="26"/>
        </w:rPr>
        <w:t xml:space="preserve">Behavioral Coaching as Retained Value</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concept of behavioral coaching — the advisor's role in helping clients maintain disciplined investment behavior through market volatility, avoid panic selling, resist performance-chasing, and stay committed to long-term financial plans — deserves specific attention in this chapter because it represents a dimension of advisor value that is both psychologically foundational and empirically quantifiable. Vanguard's Advisor's Alpha framework estimates that behavioral coaching adds approximately 150 basis points of net annual return for clients who receive it, primarily through the prevention of costly behavioral errors during market stress events. J.D. Power's 2024 investor satisfaction data document that advisor proactive outreach — defined as advisor-initiated contact that is not triggered by client requests or standard quarterly review schedules — correlates with client retention at a coefficient of approximately 0.74, among the strongest correlates identified in the satisfaction research.</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These findings converge on a model of the advisor as a psychological anchor for client behavior — a figure whose value lies not primarily in security selection or asset allocation skill (which, for most advisors, is difficult to distinguish from market returns), but in the quality of the behavioral containment and emotional support they provide during the inevitable periods of portfolio stress and life complexity. This model has profound implications for how advisory firms should structure their service delivery: the most valuable advisor behaviors — proactive outreach, personalized communication, genuine engagement with client anxiety — are time-intensive and cannot be fully systematized or delegated to technology without compromising their psychological effect (Mackinger, Mühlberger &amp; Jonas, 2017). The technology infrastructure discussed in Chapter 9 must be understood as enabling this relational work, not replacing it.</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following chapter addresses the fee architecture within which these advisory relationships are commercialized, examining the historical evolution of compensation models and the structural pressures that are driving fundamental changes in how wealth management services are priced and delivered.</w:t>
      </w:r>
    </w:p>
    <w:p>
      <w:pPr>
        <w:pBdr>
          <w:bottom w:val="single" w:color="B8860B" w:sz="6"/>
        </w:pBdr>
        <w:spacing w:after="40" w:before="40"/>
      </w:pPr>
    </w:p>
    <w:p>
      <w:r>
        <w:br w:type="page"/>
      </w:r>
    </w:p>
    <w:p>
      <w:pPr>
        <w:pStyle w:val="Heading1"/>
        <w:spacing w:after="80" w:before="440"/>
      </w:pPr>
      <w:r>
        <w:rPr>
          <w:rFonts w:ascii="Arial" w:cs="Arial" w:eastAsia="Arial" w:hAnsi="Arial"/>
          <w:b/>
          <w:bCs/>
          <w:caps/>
          <w:color w:val="B8860B"/>
          <w:sz w:val="20"/>
          <w:szCs w:val="20"/>
        </w:rPr>
        <w:t xml:space="preserve">CHAPTER 8</w:t>
      </w:r>
    </w:p>
    <w:p>
      <w:pPr>
        <w:pStyle w:val="Heading1"/>
        <w:spacing w:after="200" w:before="0"/>
      </w:pPr>
      <w:r>
        <w:rPr>
          <w:rFonts w:ascii="Arial" w:cs="Arial" w:eastAsia="Arial" w:hAnsi="Arial"/>
          <w:b/>
          <w:bCs/>
          <w:color w:val="1B2D4F"/>
          <w:sz w:val="36"/>
          <w:szCs w:val="36"/>
        </w:rPr>
        <w:t xml:space="preserve">History and Evolution of Wealth Management Fee Models</w:t>
      </w:r>
    </w:p>
    <w:p>
      <w:pPr>
        <w:pBdr>
          <w:bottom w:val="single" w:color="B8860B" w:sz="6"/>
        </w:pBdr>
        <w:spacing w:after="40" w:before="40"/>
      </w:pPr>
    </w:p>
    <w:p>
      <w:pPr>
        <w:pStyle w:val="Heading2"/>
        <w:spacing w:after="120" w:before="320"/>
      </w:pPr>
      <w:r>
        <w:rPr>
          <w:rFonts w:ascii="Arial" w:cs="Arial" w:eastAsia="Arial" w:hAnsi="Arial"/>
          <w:b/>
          <w:bCs/>
          <w:color w:val="1B2D4F"/>
          <w:sz w:val="26"/>
          <w:szCs w:val="26"/>
        </w:rPr>
        <w:t xml:space="preserve">From Commissions to Transparency: The Long Arc of Fee Reform</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history of wealth management compensation is a history of progressive, often reluctant, alignment — a decades-long movement from fee structures that systematically obscured conflicts of interest to models that, at least in principle, make the advisor's economic incentives more transparently consistent with client outcomes. Understanding this historical arc is essential not merely for academic completeness but because the structural pressures that drove each previous transition are now converging with unusual force on the current AUM-based dominant model — creating conditions for another fundamental shift in the compensation architecture of the industry, one that will arrive precisely as the wealth transfer accelerates and the next generation of clients demands different terms.</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pre-1990s compensation model was organized primarily around transaction commissions: advisors were compensated through the bid-ask spread and explicit commission charges on each security transaction, with additional compensation derived from the distribution of proprietary mutual funds and insurance products that carried embedded loads. This model created, by design, an incentive for activity — for portfolio turnover, for product placement, for the repeated generation of transaction events regardless of whether those events served client interests. The structural conflict was not incidental but structural: the advisor's income was maximized by portfolio activity, while the client's outcome was generally maximized by disciplined inactivity and the minimization of trading friction. The academic literature on the behavioral consequences of commission-based advice documents systematic over-trading, excessive product complexity, and persistent client underperformance relative to passive benchmarks that resulted from this incentive structure (Turner &amp; Giordano, 2020).</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wrap-fee account — introduced in the mid-1980s and achieving mainstream adoption through the 1990s — represented the first major structural response to the commission model's conflicts. By bundling trading costs and advisory fees into a single annual percentage charge assessed against assets under management, wrap programs eliminated the per-transaction incentive for churning and created at least a rudimentary alignment between the advisor's fee income and the client's asset level. The explosion of wrap-fee programs through the 1990s, driven by the rapid growth of discount brokerage and the emergence of financial planning as a distinct professional discipline, established the intellectual and commercial foundation for the AUM-based fee-only model that would become the industry's dominant architecture in the 2000s (Anderson et al., 2023).</w:t>
      </w:r>
    </w:p>
    <w:p>
      <w:pPr>
        <w:pStyle w:val="Heading2"/>
        <w:spacing w:after="120" w:before="320"/>
      </w:pPr>
      <w:r>
        <w:rPr>
          <w:rFonts w:ascii="Arial" w:cs="Arial" w:eastAsia="Arial" w:hAnsi="Arial"/>
          <w:b/>
          <w:bCs/>
          <w:color w:val="1B2D4F"/>
          <w:sz w:val="26"/>
          <w:szCs w:val="26"/>
        </w:rPr>
        <w:t xml:space="preserve">The AUM Model: Architecture, Advantages, and Structural Tensions</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AUM-based fee model — in which the advisor charges an annual percentage of assets under management, typically declining as account size increases, with no additional commissions or transaction charges — achieved its current dominance through the confluence of several forces: the growth of the registered investment advisor channel, which operated outside the broker-dealer regulatory framework and could credibly position itself as conflict-free; the fiduciary standard adopted by RIAs under the Investment Advisers Act; and the marketing power of the fee-only label, which resonated with a post-2008 cohort of investors newly sensitized to financial conflicts of interest. The AUM model's structural advantages are genuine: it aligns the advisor's fee income with the client's asset level (creating at least a partial incentive to grow the portfolio), it provides clients with predictable, transparent costs, and it enables complex financial planning services to be bundled into a single pricing relationship without creating per-transaction incentives (Fraser, Payne &amp; Schatzle).</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dominance of the model is reflected in current industry data: SEC Form ADV filings as of 2024 document approximately 13,000 registered investment advisors, of which 96.4 percent charge some form of AUM-based fee. The Cerulli Associates benchmarking data indicate that the average AUM advisory fee for accounts above one million dollars declined from approximately 101 basis points in 2014 to approximately 88 basis points in 2023, reflecting competitive pressure from robo-advisors and large institutional players, though mass-affluent accounts continue to command fees in the range of 102 to 125 basis points.</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structural tensions in the AUM model are, however, substantial — and they are becoming more visible precisely because the next generation of clients that will receive the wealth transfer has grown up in an environment of pricing transparency, fee compression, and competitive alternatives that did not exist when the model was established. The most fundamental tension is mathematical: on a one-million-dollar portfolio, a one-percent annual advisory fee compounds over a thirty-year client relationship to a total cost exceeding $340,000 in nominal terms, assuming moderate portfolio growth — a figure that approaches the total value of a median American household's retirement savings. Comparative analysis against flat-fee or subscription alternatives, which might cost $3,500 to $5,000 annually for similar services, makes this divergence starkly legible to younger, financially literate inheritors who are accustomed to evaluating subscription economics (Levine, 2023). The visibility of this comparison has been further amplified by the entry of Vanguard Personal Advisor Services at thirty basis points, Betterment Premium at forty basis points, and Schwab Intelligent Portfolios Premium at a thirty-dollar monthly subscription — institutional alternatives that have established new reference prices in the market and made the traditional full-service fee look expensive by comparison.</w:t>
      </w:r>
    </w:p>
    <w:p>
      <w:pPr>
        <w:pStyle w:val="Heading2"/>
        <w:spacing w:after="120" w:before="320"/>
      </w:pPr>
      <w:r>
        <w:rPr>
          <w:rFonts w:ascii="Arial" w:cs="Arial" w:eastAsia="Arial" w:hAnsi="Arial"/>
          <w:b/>
          <w:bCs/>
          <w:color w:val="1B2D4F"/>
          <w:sz w:val="26"/>
          <w:szCs w:val="26"/>
        </w:rPr>
        <w:t xml:space="preserve">The Subscription Model and the Multi-Fee Architecture</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emergence of subscription-based advisory models — in which clients pay an annual retainer, typically ranging from three to six thousand dollars for mass-affluent clients to substantially higher amounts for complex HNW engagements — represents the most structurally coherent response to the AUM model's limitations in the context of the wealth transfer. Fidelity RIA Benchmarking data for 2023 document that twenty-eight percent of registered investment advisors now offer some form of subscription or retainer option, with an average annual retainer of approximately $4,200 — a figure that has grown dramatically from near-zero penetration a decade earlier. The financial planning community's analysis indicates that subscription advisory assets under management grew more than 150 percent between 2020 and 2023, suggesting that the market is beginning to validate the model at a meaningful scale (Turner &amp; Giordano, 2020).</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theoretical advantages of the subscription model for the wealth transfer context are multiple. First, it enables the advisor to establish fee-paying relationships with younger clients — Millennial and Gen Z heirs who are accumulating but not yet wealthy — before those clients receive inherited assets, creating a continuity of relationship that the AUM model structurally discourages (because AUM fees on small accounts generate insufficient revenue to justify service investment). Second, it eliminates the perverse dynamic of the AUM model in which the advisor's fee automatically increases as the portfolio grows, even in the absence of additional service delivery — a feature that next-gen clients find difficult to justify in an era of passive index investing. Third, it creates a stable, recurring revenue base for the advisory firm that is less sensitive to market volatility than AUM-dependent revenue, improving the firm's capacity to invest in service quality during periods of market-driven asset decline (Anderson et al., 2023).</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practical challenge is that the subscription model, as currently implemented by most advisors, serves a narrower range of planning needs than the full-service AUM relationship and requires a fundamentally different client communication and service delivery infrastructure — one organized around defined service deliverables rather than ongoing portfolio management. The most sophisticated advisory firms are resolving this tension through what may be termed a multi-fee architecture: a tiered pricing structure in which younger accumulating clients are served through subscription retainers, wealth-holding clients are served through AUM relationships calibrated to account complexity, and clients in the wealth-transfer planning stage are served through project-based or outcome-referenced fees for estate plan design, trust administration, and heir coordination services (Fraser, Payne &amp; Schatzle).</w:t>
      </w:r>
    </w:p>
    <w:p>
      <w:pPr>
        <w:pStyle w:val="Heading2"/>
        <w:spacing w:after="120" w:before="320"/>
      </w:pPr>
      <w:r>
        <w:rPr>
          <w:rFonts w:ascii="Arial" w:cs="Arial" w:eastAsia="Arial" w:hAnsi="Arial"/>
          <w:b/>
          <w:bCs/>
          <w:color w:val="1B2D4F"/>
          <w:sz w:val="26"/>
          <w:szCs w:val="26"/>
        </w:rPr>
        <w:t xml:space="preserve">Regulatory Pressure and the Fiduciary Future</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regulatory trajectory of advisory compensation has consistently moved in the direction of greater fiduciary accountability, and the Department of Labor's 2024 fiduciary rule — which extends the fiduciary standard to retirement account advice and imposes conflict-disclosure and best-interest requirements on a broad range of compensation arrangements — represents the most significant regulatory development in advisor compensation since the establishment of the RIA regulatory framework. The estimated compliance cost of the 2024 fiduciary rule is approximately $3.3 billion industry-wide on an annualized basis, a burden that falls disproportionately on smaller broker-dealer and insurance-based distribution channels that have historically relied on commission-based and annuity-distribution revenue. The predictable consequence is further consolidation of the advisory industry around fee-based models and an acceleration of the shift away from commission-based product distribution (Ensor et al., 2020).</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fiduciary pressure reinforces the economic pressure from robo-advisory pricing and the demographic pressure from next-generation client preferences, creating a triple convergence that is pushing the industry toward fee structures that are more transparent, more aligned, and more accessible — even as the complexity of wealth transfer planning increases the value of sophisticated human advisory judgment. The firms that will navigate this transition successfully are those that view fee model evolution not as a compliance burden or a margin compression problem, but as a strategic opportunity to differentiate on transparency, flexibility, and genuine client-centricity in a market where the traditional AUM model is increasingly vulnerable to credible lower-cost alternatives.</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discussion of fee architecture connects directly to the technology landscape that is reshaping the cost economics of advisory service delivery. Chapter 9 examines the evolution of wealth management technology — from back-office digitization through the robo-advisory wave to the current AI and generative artificial intelligence frontier — and its implications for the competitive positioning of human advisory teams.</w:t>
      </w:r>
    </w:p>
    <w:p>
      <w:pPr>
        <w:pBdr>
          <w:bottom w:val="single" w:color="B8860B" w:sz="6"/>
        </w:pBdr>
        <w:spacing w:after="40" w:before="40"/>
      </w:pPr>
    </w:p>
    <w:p>
      <w:r>
        <w:br w:type="page"/>
      </w:r>
    </w:p>
    <w:p>
      <w:pPr>
        <w:pStyle w:val="Heading1"/>
        <w:spacing w:after="80" w:before="440"/>
      </w:pPr>
      <w:r>
        <w:rPr>
          <w:rFonts w:ascii="Arial" w:cs="Arial" w:eastAsia="Arial" w:hAnsi="Arial"/>
          <w:b/>
          <w:bCs/>
          <w:caps/>
          <w:color w:val="B8860B"/>
          <w:sz w:val="20"/>
          <w:szCs w:val="20"/>
        </w:rPr>
        <w:t xml:space="preserve">CHAPTER 9</w:t>
      </w:r>
    </w:p>
    <w:p>
      <w:pPr>
        <w:pStyle w:val="Heading1"/>
        <w:spacing w:after="200" w:before="0"/>
      </w:pPr>
      <w:r>
        <w:rPr>
          <w:rFonts w:ascii="Arial" w:cs="Arial" w:eastAsia="Arial" w:hAnsi="Arial"/>
          <w:b/>
          <w:bCs/>
          <w:color w:val="1B2D4F"/>
          <w:sz w:val="36"/>
          <w:szCs w:val="36"/>
        </w:rPr>
        <w:t xml:space="preserve">Technology, the Internet, and AI: Then, Now, and Next</w:t>
      </w:r>
    </w:p>
    <w:p>
      <w:pPr>
        <w:pBdr>
          <w:bottom w:val="single" w:color="B8860B" w:sz="6"/>
        </w:pBdr>
        <w:spacing w:after="40" w:before="40"/>
      </w:pPr>
    </w:p>
    <w:p>
      <w:pPr>
        <w:pStyle w:val="Heading2"/>
        <w:spacing w:after="120" w:before="320"/>
      </w:pPr>
      <w:r>
        <w:rPr>
          <w:rFonts w:ascii="Arial" w:cs="Arial" w:eastAsia="Arial" w:hAnsi="Arial"/>
          <w:b/>
          <w:bCs/>
          <w:color w:val="1B2D4F"/>
          <w:sz w:val="26"/>
          <w:szCs w:val="26"/>
        </w:rPr>
        <w:t xml:space="preserve">Three Waves of Technological Disruption in Wealth Management</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history of technology in wealth management is best understood as a sequence of disruptions, each of which redefined the minimum viable value proposition of human advisory services and forced a renegotiation of what advisors are for. The first wave — the digitization of back-office operations that characterized the period roughly from the 1980s through the early 2000s — automated portfolio accounting, trade execution, reporting, and compliance functions that had previously required large administrative staffs. This wave reduced operational costs and improved accuracy without materially changing the client-facing nature of the advisory relationship. Advisors who survived this transition did so without fundamental alteration of their service model; technology was a cost-reduction tool, not a competitive challenge to their core proposition.</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second wave — the internet and online brokerage revolution that began in the mid-1990s and produced the robo-advisor category between 2008 and 2015 — was qualitatively different in its disruptive character. By enabling direct-to-consumer investing at near-zero marginal cost, the internet delegitimized the advisor's role as an essential intermediary for basic portfolio management. Charles Schwab, E*Trade, and their successors demonstrated that retail investors could construct diversified portfolios without advisor assistance; Betterment and Wealthfront then demonstrated that algorithm-driven asset allocation, automatic rebalancing, and tax-loss harvesting could be delivered at scale for fee levels that were a fraction of traditional advisory charges. Statista and Cerulli data document that U.S. robo-advisory assets under management grew from approximately $56 billion in 2017 to approximately $2.76 trillion in 2024 — a roughly fifty-fold increase in seven years — with projections of approximately $5.9 trillion by 2027 (Judijanto, 2025). This growth trajectory compressed advisory fees across the industry and forced human advisors to articulate a value proposition that went beyond portfolio construction and rebalancing — the functions that automation had commoditized (Oliveira, 2026).</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third wave — the application of artificial intelligence, machine learning, and most recently generative artificial intelligence to financial advisory functions — is currently unfolding, and its ultimate contours remain uncertain. What is already visible is that this wave is categorically more powerful than its predecessors in its potential to automate not merely operational and analytical tasks but reasoning, communication, and personalization functions that were previously assumed to require human judgment. The scholarly literature on this transition has expanded rapidly as practitioners and researchers grapple with its implications. Bhardwaj (2025) documents that AI applications in wealth management now span client segmentation, risk profiling, portfolio optimization, behavioral nudging, compliance monitoring, and natural-language client communication — a range of functions that collectively constitutes a substantial fraction of the activities that human advisory teams perform. Bandi (2025) argues that the most consequential implication of this expansion is not the replacement of human advisors but the transformation of their role: the emergence of what Bandi terms human-AI collaboration architectures, in which advisors function as orchestrators of AI-generated analysis, judgment, and communication rather than as primary producers of those outputs.</w:t>
      </w:r>
    </w:p>
    <w:p>
      <w:pPr>
        <w:pStyle w:val="Heading2"/>
        <w:spacing w:after="120" w:before="320"/>
      </w:pPr>
      <w:r>
        <w:rPr>
          <w:rFonts w:ascii="Arial" w:cs="Arial" w:eastAsia="Arial" w:hAnsi="Arial"/>
          <w:b/>
          <w:bCs/>
          <w:color w:val="1B2D4F"/>
          <w:sz w:val="26"/>
          <w:szCs w:val="26"/>
        </w:rPr>
        <w:t xml:space="preserve">The Robo-Advisor as Infrastructure</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robo-advisor, which initially appeared as a consumer-facing challenger to human advisory services, has increasingly been reinterpreted as infrastructure for human advisory delivery — a development that illustrates how each wave of disruption ultimately produces tools that empower, rather than simply replace, human professionals. The evolution of robo-advisory from standalone B2C product to B2B technology layer is documented in the bibliometric analysis by Judijanto (2025), which traces the shift in research focus from robo-advisor adoption and performance to the integration of robo-advisory capabilities into human-advised wealth management platforms. Capponi et al. (2020) demonstrate that personalized robo-advising — in which algorithmic portfolio construction is responsive to individualized client inputs about financial goals, risk preferences, and life events — produces measurably superior outcomes relative to generic algorithmic approaches, pointing toward a model in which the value of robo technology lies in its capacity for personalization rather than its cost efficiency alone.</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adoption of robo-advisory services by Millennial investors — documented by Ebekozien et al. (2023) — reveals a nuanced pattern: while younger, digitally native investors are significantly more receptive to algorithmic advisory services than older cohorts, their adoption is not unconditional. The factors that predict robo-advisory adoption among Millennials include perceived transparency of the algorithm, clarity of fee disclosure, and — critically — the availability of human support when needed. This last finding suggests that the clean binary between robo-advisory and human advisory is a false dichotomy: the most attractive service model for the largest growing segment of wealth management clients combines algorithmic efficiency and fee transparency with accessible human expertise for complex decisions (Ebekozien et al., 2023). The hybrid or augmented advisory model — in which AI provides continuous portfolio monitoring, tax optimization, and personalized communication while human advisors handle relationship management, behavioral coaching, and complex planning — is the architecture most consistent with both the economics of AI-enabled service delivery and the psychological needs of clients documented in Chapter 7.</w:t>
      </w:r>
    </w:p>
    <w:p>
      <w:pPr>
        <w:pStyle w:val="Heading2"/>
        <w:spacing w:after="120" w:before="320"/>
      </w:pPr>
      <w:r>
        <w:rPr>
          <w:rFonts w:ascii="Arial" w:cs="Arial" w:eastAsia="Arial" w:hAnsi="Arial"/>
          <w:b/>
          <w:bCs/>
          <w:color w:val="1B2D4F"/>
          <w:sz w:val="26"/>
          <w:szCs w:val="26"/>
        </w:rPr>
        <w:t xml:space="preserve">Generative AI and the Personalization Frontier</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emergence of large language models and generative artificial intelligence capabilities since 2022 has introduced qualitatively new possibilities for wealth management service delivery — and qualitatively new competitive pressures for firms that fail to integrate these capabilities. Yang and Lee (2024) examine how generative AI can enhance financial advisory services by producing personalized financial plan narratives, contextually appropriate client communications, and scenario analysis outputs that would previously have required hours of advisor time per client. The research demonstrates that GenAI-generated financial communications, when properly configured and reviewed, achieve comparability with human-drafted equivalents in perceived personalization and clarity — suggesting that the marginal cost of high-quality personalized communication can be driven toward near-zero through appropriate AI deployment.</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Takayanagi et al. (2025) directly examine whether generative AI agents can function as effective personalized financial advisors, finding that current-generation models can manage routine portfolio communication, answer complex tax questions with acceptable accuracy, and generate customized financial plans for clients with standard planning needs — but continue to underperform human advisors in high-stakes, emotionally complex situations involving grief, family conflict, and unprecedented life decisions. This finding is theoretically significant: it locates the irreducible value of human advisory judgment precisely in the domains where the wealth transfer unfolds most acutely — the interpretation of a client's emotional state at a moment of parental death, the navigation of family conflict over inheritance distribution, the construction of a legacy that reflects individual values rather than optimized tax efficiency. The AI cannot replace the human advisor in the transfer room; it can, however, free the human advisor to be more fully present in that room by eliminating the administrative and analytical work that would otherwise crowd out relational attention (Takayanagi et al., 2025).</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Srivastava et al. (2025) provide a systematic review of the robo-advisor and AI advisory literature that identifies several consistent findings: AI-augmented advisory systems outperform human-only systems on portfolio optimization metrics and compliance monitoring, while human-advisory systems outperform AI-only systems on client retention, trust formation, and complex planning quality. The synthesis is predictable but important: the evidence base for the augmented advisory model — human plus AI — is accumulating rapidly, and firms that have not begun the organizational and technological transition to this model are falling behind a competitive frontier that is moving quickly (Srivastava et al., 2025).</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McKinsey Global Institute's 2023 analysis of AI adoption in financial services documents that firms with AI-enabled client analytics report twenty-three percent higher AUM growth than comparable firms without such capabilities — a performance differential large enough to compound meaningfully over a decade into substantial market share differences. Capgemini's survey of wealth management firms finds that sixty-seven percent plan to increase AI investment by more than twenty percent in 2025, with the primary use cases being client segmentation (73 percent of respondents), portfolio rebalancing (61 percent), and compliance monitoring (58 percent). BlackRock's Aladdin system — which processes approximately $21.6 trillion in AUM — represents the most visible example of AI infrastructure operating at institutional scale, demonstrating that the analytical capabilities once accessible only to the largest institutions can be approximated at lower cost through commercial AI platforms (Yaramolu, 2025).</w:t>
      </w:r>
    </w:p>
    <w:p>
      <w:pPr>
        <w:pStyle w:val="Heading2"/>
        <w:spacing w:after="120" w:before="320"/>
      </w:pPr>
      <w:r>
        <w:rPr>
          <w:rFonts w:ascii="Arial" w:cs="Arial" w:eastAsia="Arial" w:hAnsi="Arial"/>
          <w:b/>
          <w:bCs/>
          <w:color w:val="1B2D4F"/>
          <w:sz w:val="26"/>
          <w:szCs w:val="26"/>
        </w:rPr>
        <w:t xml:space="preserve">Anshari et al. and the Digital Twin Frontier</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Among the most forward-looking technological developments in wealth management is the concept of the digital twin — a continuously updated computational model of a client's financial situation, goals, behavioral tendencies, and risk tolerance that can serve as the substrate for scenario planning, communication personalization, and AI-driven advisory synthesis. Anshari et al. (2022) theorize the digital twin as the next frontier of robo-advisory technology, arguing that sufficiently rich client models — populated with data from financial accounts, behavioral signals, communication history, and life event data — could enable advisory systems to anticipate client needs, model the consequences of financial decisions in real time, and communicate recommendations with a degree of personalization that significantly exceeds current capabilities. The practical challenges of constructing digital twin models — data integration, privacy governance, model accuracy validation, and client consent management — are substantial, but the trajectory of AI capability development suggests that these challenges will be progressively resolved over the medium term.</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For wealth management firms strategizing about the wealth transfer, the digital twin concept illuminates a specific competitive opportunity: the firm that builds the most comprehensive, accurate, and continuously maintained digital model of a client family — including not only the primary wealth holder but their heirs, their estate plan structure, their tax situation across all accounts, and their behavioral patterns — will be best positioned to provide continuity of advisory service through the transfer event and to engage heirs with personalized, contextually relevant communication from the moment of the inheritance event. Vanguard and Cerulli data document that human advisors who use digital planning tools retain clients at a ninety-four percent annual rate, compared to eighty-eight percent for those without such tools — a six-percentage-point gap that, compounded over a decade, produces dramatically different client retention outcomes (Shen et al., 2025).</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analytical infrastructure of AI and digital planning is necessary but not sufficient for winning the wealth transfer. It must be combined with the client acquisition capabilities examined in Chapter 10, which addresses how firms can systematically identify, engage, and convert the next generation of wealth transfer recipients before competing advisors do so.</w:t>
      </w:r>
    </w:p>
    <w:p>
      <w:pPr>
        <w:pBdr>
          <w:bottom w:val="single" w:color="B8860B" w:sz="6"/>
        </w:pBdr>
        <w:spacing w:after="40" w:before="40"/>
      </w:pPr>
    </w:p>
    <w:p>
      <w:r>
        <w:br w:type="page"/>
      </w:r>
    </w:p>
    <w:p>
      <w:pPr>
        <w:pStyle w:val="Heading1"/>
        <w:spacing w:after="80" w:before="440"/>
      </w:pPr>
      <w:r>
        <w:rPr>
          <w:rFonts w:ascii="Arial" w:cs="Arial" w:eastAsia="Arial" w:hAnsi="Arial"/>
          <w:b/>
          <w:bCs/>
          <w:caps/>
          <w:color w:val="B8860B"/>
          <w:sz w:val="20"/>
          <w:szCs w:val="20"/>
        </w:rPr>
        <w:t xml:space="preserve">CHAPTER 10</w:t>
      </w:r>
    </w:p>
    <w:p>
      <w:pPr>
        <w:pStyle w:val="Heading1"/>
        <w:spacing w:after="200" w:before="0"/>
      </w:pPr>
      <w:r>
        <w:rPr>
          <w:rFonts w:ascii="Arial" w:cs="Arial" w:eastAsia="Arial" w:hAnsi="Arial"/>
          <w:b/>
          <w:bCs/>
          <w:color w:val="1B2D4F"/>
          <w:sz w:val="36"/>
          <w:szCs w:val="36"/>
        </w:rPr>
        <w:t xml:space="preserve">Client Acquisition: Past, Present, and Future</w:t>
      </w:r>
    </w:p>
    <w:p>
      <w:pPr>
        <w:pBdr>
          <w:bottom w:val="single" w:color="B8860B" w:sz="6"/>
        </w:pBdr>
        <w:spacing w:after="40" w:before="40"/>
      </w:pPr>
    </w:p>
    <w:p>
      <w:pPr>
        <w:pStyle w:val="Heading2"/>
        <w:spacing w:after="120" w:before="320"/>
      </w:pPr>
      <w:r>
        <w:rPr>
          <w:rFonts w:ascii="Arial" w:cs="Arial" w:eastAsia="Arial" w:hAnsi="Arial"/>
          <w:b/>
          <w:bCs/>
          <w:color w:val="1B2D4F"/>
          <w:sz w:val="26"/>
          <w:szCs w:val="26"/>
        </w:rPr>
        <w:t xml:space="preserve">The Referral Economy and Its Limits</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Client acquisition in wealth management has historically been a deeply personal, socially embedded activity — organized around the cultivation of relationships, the reciprocal exchange of professional referrals, and the patient construction of a reputation within a defined community of prospective clients and center-of-influence professionals. For established advisors with tenure exceeding ten years, this model has been remarkably productive: Cerulli Associates' benchmarking data document that seventy-nine percent of new client relationships for such advisors originate from client referrals, a figure that reflects the accumulated social capital of years of demonstrated competence and personalized service. The referral model is, in its essence, a trust-transmission mechanism: a client who refers a peer to their advisor is extending their own reputational stake in the quality of the relationship, providing the prospective client with the social proof that, as documented in Chapter 7, is the most powerful driver of trust formation in advisory selection (Chang &amp; Yao, 2015).</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structural advantages of the referral model are complemented by its limitations, which become acute in the specific context of the wealth transfer. The referral model is historically efficient but structurally conservative: it grows the practice incrementally, maintains the demographic and socioeconomic profile of the existing client base, and reaches prospective clients at the moment when a trusted mutual connection makes a specific introduction. It does not, except by chance, position the advisor to engage the heirs of existing clients before the inheritance event occurs; it does not provide systematic coverage of the market of younger prospective inheritors who are accumulating assets and forming advisor preferences in the decade before they receive transferred wealth; and it does not scale at the velocity that the wealth transfer demands, given the sheer volume of transfer events — millions of estates per year — that will occur over the next decade. The referral model is an excellent tool for sustaining an established practice; it is an inadequate tool for capturing the intergenerational wealth transfer at competitive scale (Richards).</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For advisors with fewer than five years of practice tenure — and for firms seeking to expand their market position rapidly in anticipation of the transfer — the referral deficit is even more acute: the same Cerulli data show that referral-originating client relationships account for only sixty-one percent of new business for early-career advisors, with the balance coming from more active acquisition channels. This suggests that the referral model's productivity is a lagging indicator of accumulated trust, not a strategy available to newer practitioners or firms entering new markets. The wealth transfer era demands a richer, more systematic acquisition architecture.</w:t>
      </w:r>
    </w:p>
    <w:p>
      <w:pPr>
        <w:pStyle w:val="Heading2"/>
        <w:spacing w:after="120" w:before="320"/>
      </w:pPr>
      <w:r>
        <w:rPr>
          <w:rFonts w:ascii="Arial" w:cs="Arial" w:eastAsia="Arial" w:hAnsi="Arial"/>
          <w:b/>
          <w:bCs/>
          <w:color w:val="1B2D4F"/>
          <w:sz w:val="26"/>
          <w:szCs w:val="26"/>
        </w:rPr>
        <w:t xml:space="preserve">The Digital Transformation of the Prospect Funnel</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internet has fundamentally altered the prospect funnel in wealth management — the sequence of awareness, consideration, evaluation, and engagement through which a prospective client moves from not knowing an advisor exists to becoming a fee-paying client relationship. The most consequential change is the emergence of independent prospect research as the normative behavior of high-net-worth investors before any advisor contact occurs. LinkedIn data indicate that seventy-three percent of ultra-high-net-worth investors research financial advisors on the platform before making an initial contact — examining the advisor's professional history, published content, endorsements, and network connections as proxies for competence and cultural fit. Counterintuitively, only forty-one percent of advisors maintain an active LinkedIn presence, a gap that represents both a competitive vulnerability for the majority and a structural advantage for the minority who do maintain visible, content-rich professional profiles (George &amp; Coffi, 2022).</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concept of thought leadership — the production and distribution of educational content that demonstrates the advisor's expertise on subjects relevant to the prospective client's financial situation — has emerged as a systematically measurable acquisition driver. Kitces Research documents that advisors who publish thought leadership content generate approximately 2.4 times more inbound inquiries than non-publishing advisors, and that prospects who engage with advisor-produced content before initiating contact close as clients at approximately thirty-five percent higher rates than those generated through other channels. The mechanism is straightforward: content that addresses the specific financial concerns of the target client segment — estate planning for business owners, retirement income sequencing for UHNW individuals, tax optimization strategies for equity-compensated executives — demonstrates competence, establishes topical authority, and creates the perception of expertise before the first conversation occurs (George &amp; Coffi, 2022). This is, in effect, a digital analog of the referral mechanism: the content serves as a trust-building intermediary, performing the credibility-transfer function that a human referral source performs in the traditional model.</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implications for advisor strategy are clear but require a genuine shift in how advisory firms think about marketing investment. The production of high-quality, technically accurate, client-relevant content is not a peripheral marketing function; it is a systematic trust-building activity whose output is a pipeline of pre-educated, pre-credentialed prospects who arrive at the first conversation with significantly reduced informational asymmetry and correspondingly reduced barriers to engagement. Ginovsky (2014), in an early analysis of the democratization of wealth management services, notes that the expansion of advisor visibility through digital channels has the potential to extend the addressable market of potential advisory clients beyond the historically narrow social circles that the referral model reaches — a structural expansion of opportunity that benefits advisors who embrace it.</w:t>
      </w:r>
    </w:p>
    <w:p>
      <w:pPr>
        <w:pStyle w:val="Heading2"/>
        <w:spacing w:after="120" w:before="320"/>
      </w:pPr>
      <w:r>
        <w:rPr>
          <w:rFonts w:ascii="Arial" w:cs="Arial" w:eastAsia="Arial" w:hAnsi="Arial"/>
          <w:b/>
          <w:bCs/>
          <w:color w:val="1B2D4F"/>
          <w:sz w:val="26"/>
          <w:szCs w:val="26"/>
        </w:rPr>
        <w:t xml:space="preserve">Life-Event Triggered Acquisition and the Probate Intelligence Opportunity</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most sophisticated and strategically specific evolution in advisory client acquisition for the wealth transfer era involves the systematic identification and engagement of prospective clients at the precise moments when they are most actively evaluating their advisory situations — the life-event triggered acquisition model. The logic of this approach draws on a well-established finding in behavioral science: decision-making in financial services is not continuous or spontaneous, but is triggered by discrete life events — job changes, marriage, divorce, home purchase, retirement, and crucially, inheritance — that disrupt the status quo and open a window of heightened receptivity to new advisory relationships (Wong &amp; Ho, 2022).</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inheritance event is, by far, the most financially consequential of these triggers. As documented in Chapter 7, forty-six percent of inheritors switch advisors within twelve months of receiving inherited assets — a behavioral pattern that creates an enormous market of prospective clients who are simultaneously in possession of substantial new assets, actively evaluating their advisory situations, and emotionally disoriented by the life transition that produced the inheritance. The challenge for advisory firms is identifying these prospective clients at the moment they enter this window of heightened receptivity, before they have completed their advisor evaluation and committed to a choice.</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Probate court records represent an underutilized intelligence source for this purpose. Probate filings — which are public records in most U.S. jurisdictions — average approximately 2.4 million annually, of which approximately 800,000 represent estates with a gross value exceeding $500,000. These filings, which identify the deceased, the estate's approximate size, the heirs, and the legal counsel involved, are filed during the precise window in which heirs are forming their advisory decisions. Advisory firms that systematically monitor probate filings in their target geographies, cross-reference identified heirs against existing client networks and center-of-influence referral sources, and coordinate personalized outreach to heirs through trusted intermediaries are positioning themselves at the optimal point in the acquisition funnel: before the competitive evaluation window closes. The integration of this behavioral data layer with AI-driven lead qualification and personalized outreach capabilities — discussed in Chapter 9 — represents one of the most potent applications of technology to the acquisition problem (Bonelli, 2025).</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Beyond probate data, the broader category of life-event signal data includes real estate transactions, business registration and dissolution filings, trust document recordings, executive compensation disclosures, and change-of-address data — each of which represents a financial life event that may coincide with, or precede, a moment of advisory receptivity. Salesforce's research on financial services client engagement documents that sixty-seven percent of high-net-worth investors under the age of forty-five expect real-time communication capabilities from their advisors — a preference that extends to the acquisition context, where the quality and timeliness of the first outreach communication is a significant predictor of engagement. Advisors who can deliver personalized, timely, contextually relevant communication to identified prospects — enabled by AI-driven data integration and natural-language communication tools — will have a measurable acquisition advantage over those relying on generic prospecting approaches.</w:t>
      </w:r>
    </w:p>
    <w:p>
      <w:pPr>
        <w:pStyle w:val="Heading2"/>
        <w:spacing w:after="120" w:before="320"/>
      </w:pPr>
      <w:r>
        <w:rPr>
          <w:rFonts w:ascii="Arial" w:cs="Arial" w:eastAsia="Arial" w:hAnsi="Arial"/>
          <w:b/>
          <w:bCs/>
          <w:color w:val="1B2D4F"/>
          <w:sz w:val="26"/>
          <w:szCs w:val="26"/>
        </w:rPr>
        <w:t xml:space="preserve">The Structured Referral Program and the Next-Generation Pipeline</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empirical evidence on referral program structure reveals a consistent pattern: top-quartile advisory firms by growth metrics average eighteen new client relationships per year, compared to seven for median firms — and the top cohort attributes forty-four percent of that growth to structured, systematic referral programs rather than organic or informal referral activity. This distinction between structured and informal referral activity is more significant than it might appear. Informal referrals — the spontaneous recommendations that occur when a satisfied client mentions their advisor to a friend — are passive: they depend on the client voluntarily thinking of the advisor at the right moment and feeling motivated to make the introduction. Structured referral programs, by contrast, are active: they create systematic processes for requesting, facilitating, and following up on specific introductions, and they provide clients with the language, context, and logistical support to make referrals effectively (Richards).</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application of structured referral methodology to the wealth transfer context suggests a specific program architecture: identifying the children and grandchildren of existing clients as the highest-priority referral targets, engaging existing clients as active introducers of their heirs to the advisory team, and creating service experiences for those heirs — educational events, estate planning consultations, investment literacy workshops — that establish direct advisory relationships before the transfer event occurs. Schwab Advisor Services' 2024 advisor survey documents that fifty-five percent of advisors identify "failure to connect with clients' children" as their top concern — a remarkable admission that the industry is aware of the structural vulnerability but has not, at the aggregate level, resolved it through systematic program design.</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referral program's effectiveness in the wealth transfer context is a function of two variables that advisors can influence: the quality of the existing client relationship, which determines the client's motivation to invest social capital in making an introduction; and the quality of the heir engagement program, which determines whether the introduction, once made, results in a relationship that persists through the transfer event. Both variables are under the advisor's control; neither requires access to technologies or resources unavailable to well-organized advisory practices.</w:t>
      </w:r>
    </w:p>
    <w:p>
      <w:pPr>
        <w:pStyle w:val="Heading2"/>
        <w:spacing w:after="120" w:before="320"/>
      </w:pPr>
      <w:r>
        <w:rPr>
          <w:rFonts w:ascii="Arial" w:cs="Arial" w:eastAsia="Arial" w:hAnsi="Arial"/>
          <w:b/>
          <w:bCs/>
          <w:color w:val="1B2D4F"/>
          <w:sz w:val="26"/>
          <w:szCs w:val="26"/>
        </w:rPr>
        <w:t xml:space="preserve">The Integrated Acquisition Architecture</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strategic synthesis of the acquisition landscape points toward what may be termed an integrated acquisition architecture — a multi-channel, data-informed system that combines the trust-efficiency of referral-based acquisition with the scale of digital content marketing, the precision of life-event triggered outreach, and the consistency of structured heir-engagement programs. The components of this architecture are not individually novel; the sophistication lies in their integration into a systematic process that operates continuously rather than opportunistically.</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Wong and Ho (2022) document that client personality characteristics — particularly openness to experience and conscientiousness — are significant predictors of premium banking service adoption and long-term advisory loyalty, suggesting that the ideal acquisition strategy distinguishes between prospective clients by psychological profile as well as financial characteristics. The advisors and firms that invest in understanding the psychological and behavioral profiles of their target segments — using the behavioral data sources and AI tools discussed in Chapter 9 to go beyond demographic and wealth-band segmentation — will construct more efficient acquisition processes and more durable client relationships than those relying on undifferentiated outreach.</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convergence of digital intelligence, AI-enabled personalization, structured referral methodology, and heir-engagement program design represents the state-of-the-art acquisition capability for the wealth transfer era. Firms that build this capability systematically — that treat client acquisition not as an artisanal activity dependent on individual advisor talent and social networks, but as an institutional process that can be designed, measured, and improved — will have a structural competitive advantage that compounds over the decade of the transfer. The competitive landscape is not static: as AI tools become more widely accessible, the tactical advantages of specific acquisition technologies will erode. The durable advantages will belong to firms that combine technological capability with the institutional trust, relational depth, and professional expertise that no technology can substitute — a synthesis that connects the acquisition strategy discussed in this chapter back to the foundational questions of advisor value proposition and client psychology examined throughout this dissertation.</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chapters that follow will examine the specific structural and strategic implications of the wealth transfer for advisory team design, firm governance, and the competitive dynamics of consolidation that are reshaping the industry's organizational landscape.</w:t>
      </w:r>
    </w:p>
    <w:p>
      <w:pPr>
        <w:pBdr>
          <w:bottom w:val="single" w:color="B8860B" w:sz="6"/>
        </w:pBdr>
        <w:spacing w:after="40" w:before="40"/>
      </w:pP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End of Chapters 6–10</w:t>
      </w:r>
    </w:p>
    <w:p>
      <w:r>
        <w:br w:type="page"/>
      </w:r>
    </w:p>
    <w:p>
      <w:pPr>
        <w:pStyle w:val="Heading1"/>
        <w:spacing w:after="80" w:before="440"/>
      </w:pPr>
      <w:r>
        <w:rPr>
          <w:rFonts w:ascii="Arial" w:cs="Arial" w:eastAsia="Arial" w:hAnsi="Arial"/>
          <w:b/>
          <w:bCs/>
          <w:caps/>
          <w:color w:val="B8860B"/>
          <w:sz w:val="20"/>
          <w:szCs w:val="20"/>
        </w:rPr>
        <w:t xml:space="preserve">CHAPTER 11</w:t>
      </w:r>
    </w:p>
    <w:p>
      <w:pPr>
        <w:pStyle w:val="Heading1"/>
        <w:spacing w:after="200" w:before="0"/>
      </w:pPr>
      <w:r>
        <w:rPr>
          <w:rFonts w:ascii="Arial" w:cs="Arial" w:eastAsia="Arial" w:hAnsi="Arial"/>
          <w:b/>
          <w:bCs/>
          <w:color w:val="1B2D4F"/>
          <w:sz w:val="36"/>
          <w:szCs w:val="36"/>
        </w:rPr>
        <w:t xml:space="preserve">Competitive Landscape: How Major Firms Are Positioning for the Transfer</w:t>
      </w:r>
    </w:p>
    <w:p>
      <w:pPr>
        <w:pBdr>
          <w:bottom w:val="single" w:color="B8860B" w:sz="6"/>
        </w:pBdr>
        <w:spacing w:after="40" w:before="40"/>
      </w:pPr>
    </w:p>
    <w:p>
      <w:pPr>
        <w:pStyle w:val="Heading2"/>
        <w:spacing w:after="120" w:before="320"/>
      </w:pPr>
      <w:r>
        <w:rPr>
          <w:rFonts w:ascii="Arial" w:cs="Arial" w:eastAsia="Arial" w:hAnsi="Arial"/>
          <w:b/>
          <w:bCs/>
          <w:color w:val="1B2D4F"/>
          <w:sz w:val="26"/>
          <w:szCs w:val="26"/>
        </w:rPr>
        <w:t xml:space="preserve">11.1 Introduction: A Structurally Fragmented Industry Confronts a Generational Inflection</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American wealth management industry enters the decade of the Great Wealth Transfer in a state of accelerating structural transformation. The forces reshaping competitive dynamics — channel migration from captive brokerage to independence, private equity-driven aggregation of registered investment advisors, the emergence of digital advisory platforms targeting mass-affluent investors, and the reorganization of custodial infrastructure — have not yet reached equilibrium. What is clear is that the distribution of competitive advantage among incumbent and emerging models will determine which firms capture a disproportionate share of the estimated $84 trillion in intergenerational asset flows projected over the next two decades. Understanding the competitive landscape requires a disaggregation of the industry into its principal structural archetypes, an assessment of each archetype's inherent advantages and vulnerabilities as it confronts this transfer, and an analysis of the second-order dynamics — consolidation, partnership, platform investment — through which firms are attempting to convert structural position into durable market share.</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thesis advanced in this chapter is that no single archetype enters the wealth transfer era with an unambiguous competitive advantage. Wirehouses possess brand recognition and comprehensive product platforms but are constrained by aging advisor demographics and legacy compensation structures that generate client attrition precisely at the moment of generational transition. Independent and hybrid registered investment advisors have built fiduciary credibility and advisor loyalty but frequently lack the marketing scale and product depth required to serve ultra-high-net-worth clients navigating complex cross-jurisdictional estate situations. Digital platforms have constructed the cost structures and user-experience architectures that resonate with next-generation inheritors but have not yet demonstrated the trust infrastructure necessary for clients managing seven- and eight-figure estate transitions. Winning firms will be those that successfully bridge the structural advantage embedded in their model with the specific engagement capability gaps that the wealth transfer exposes.</w:t>
      </w:r>
    </w:p>
    <w:p>
      <w:pPr>
        <w:pStyle w:val="Heading2"/>
        <w:spacing w:after="120" w:before="320"/>
      </w:pPr>
      <w:r>
        <w:rPr>
          <w:rFonts w:ascii="Arial" w:cs="Arial" w:eastAsia="Arial" w:hAnsi="Arial"/>
          <w:b/>
          <w:bCs/>
          <w:color w:val="1B2D4F"/>
          <w:sz w:val="26"/>
          <w:szCs w:val="26"/>
        </w:rPr>
        <w:t xml:space="preserve">11.2 Wirehouse Decline and the Channel Migration to Independence</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structural shift in advisor headcount distribution over the past decade and a half provides perhaps the most illuminating quantitative indicator of competitive repositioning. According to Cerulli Associates' advisor benchmarking research, wirehouse firms — principally Morgan Stanley, Merrill Lynch, Wells Fargo Advisors, and UBS Americas — accounted for approximately 53 percent of advisor headcount in 2010. By 2023, that share had contracted to approximately 38 percent. Over the same period, the registered investment advisor and hybrid RIA channels grew their share of advisor headcount from approximately 18 percent to 31 percent, a trajectory that reflects not merely organic advisor preference but a systematic structural pull created by the availability of independent custodial infrastructure, favorable regulatory environment, and investor demand for unconflicted fiduciary advice (Davitaia, 2025).</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contraction of wirehouse market share does not, in itself, indicate that wirehouse firms are losing assets under management at equivalent rates. Morgan Stanley Wealth Management reported approximately $4.9 trillion in client assets under management as of 2023, while Merrill Lynch managed approximately $3.5 trillion and UBS Americas approximately $1.6 trillion. These remain extraordinary asset concentrations, reflecting the historical advantage of wirehouse relationships with older, wealthier cohorts. The challenge these firms face is prospective rather than retrospective: the clients who constitute the core of their AUM base are precisely those who are approaching estate transition, and the heirs who will inherit those assets exhibit markedly different advisor-selection preferences than their parents. Research on generational investment behavior confirms that younger investors place substantially greater weight on fee transparency, technological capability, and perceived fiduciary alignment than on institutional brand recognition alone (Siddiqui &amp; Singh, 2026; Naanwaab &amp; Antwi, 2022). The wirehouse model, constructed on a compensation architecture that has historically bundled product distribution with advice, faces a structural credibility deficit with a generation of inheritors who are simultaneously more financially informed and more skeptical of financial intermediaries.</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response of wirehouse firms has been multidimensional. Some have established internal independent advisor platforms — Morgan Stanley's integration of E*Trade and its wealth management technology investment program represent one variant of this strategy. Others have pursued what might be characterized as a "hybrid independence" model, in which advisors maintain wirehouse affiliation but operate with greater platform flexibility and client-ownership structures more characteristic of RIAs. Whether these architectural adaptations are sufficient to neutralize the competitive advantages of independent RIAs in the transfer decade remains to be demonstrated empirically. As Ginovsky (2014) observed, the broader challenge for institutional wealth managers is operationalizing genuine service breadth across a heterogeneous client population without sacrificing the personalization that differentiates premium advisory relationships.</w:t>
      </w:r>
    </w:p>
    <w:p>
      <w:pPr>
        <w:pStyle w:val="Heading2"/>
        <w:spacing w:after="120" w:before="320"/>
      </w:pPr>
      <w:r>
        <w:rPr>
          <w:rFonts w:ascii="Arial" w:cs="Arial" w:eastAsia="Arial" w:hAnsi="Arial"/>
          <w:b/>
          <w:bCs/>
          <w:color w:val="1B2D4F"/>
          <w:sz w:val="26"/>
          <w:szCs w:val="26"/>
        </w:rPr>
        <w:t xml:space="preserve">11.3 RIA Aggregation and the Private Equity Consolidation Wave</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registered investment advisor landscape has experienced its own structural transformation, driven by the entry of private equity capital into the aggregation model. Firms such as Creative Planning, Mercer Advisors, Hightower Advisors, and Savant Wealth Management have deployed PE-backed capital to acquire independent RIAs at scale, pursuing a consolidation strategy premised on the thesis that the Great Wealth Transfer will disproportionately benefit firms that can offer institutional-grade capabilities — estate planning, tax optimization, family office services, alternative investments — at scale while maintaining the fiduciary culture and advisor-client intimacy characteristic of independent advisory relationships. According to data from Echelon Partners, 2023 recorded 342 RIA M&amp;A transactions, a figure that represents a record-high deal volume, with PE-backed aggregators accounting for approximately 60 percent of deal volume by AUM acquired. The custodial underpinning of this consolidation is notable: Fidelity Institutional reported that RIAs now custody in excess of $9 trillion in assets, with Schwab Advisor Services reporting approximately $4.8 trillion and Pershing approximately $2.1 trillion under RIA custody.</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aggregation strategy offers genuine competitive logic. Firms that achieve scale can invest in technology infrastructure, compliance programs, specialized service capabilities, and marketing that individual RIAs cannot feasibly finance independently. Estate planning integration, tax advisory services, and family governance consulting — the capabilities most directly relevant to the wealth transfer opportunity — require specialized human capital and technology investment that are realistically accessible only to advisory firms above certain scale thresholds. The literature on wealth management competitive dynamics confirms that firms offering holistic, multi-dimensional advisory services generate materially higher client retention rates and command fee premiums relative to investment-only advisors (Prabhakaran). Research evaluating wealth management firm quality across multiple dimensions consistently identifies service comprehensiveness and fiduciary positioning as the dominant drivers of client preference among high-net-worth and ultra-high-net-worth segments (Prabhakaran; Srivastava et al., 2025).</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vulnerability of the aggregation model lies in cultural integration. The independent RIA industry has historically attracted advisors for whom the autonomy and client-ownership structures of the independent channel represent a fundamental professional preference. PE-backed aggregators that sacrifice advisor autonomy in the pursuit of operational efficiency risk triggering the very advisor attrition they are acquiring to prevent, and advisor attrition in wealth management is, by definition, client attrition. Additionally, the PE investment thesis depends on multiple expansion — the assumption that aggregated RIA platforms will be valued at higher EBITDA multiples than individual firms, a premise that is sensitive to interest rate environments and the public market valuations of comparable asset-light financial services businesses. Should credit conditions tighten or comparable public valuations compress, the aggregation model's financial architecture may face stress precisely during the transfer decade it is designed to exploit.</w:t>
      </w:r>
    </w:p>
    <w:p>
      <w:pPr>
        <w:pStyle w:val="Heading2"/>
        <w:spacing w:after="120" w:before="320"/>
      </w:pPr>
      <w:r>
        <w:rPr>
          <w:rFonts w:ascii="Arial" w:cs="Arial" w:eastAsia="Arial" w:hAnsi="Arial"/>
          <w:b/>
          <w:bCs/>
          <w:color w:val="1B2D4F"/>
          <w:sz w:val="26"/>
          <w:szCs w:val="26"/>
        </w:rPr>
        <w:t xml:space="preserve">11.4 Digital Platforms and the Mass-Affluent Opportunity</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emergence of digital advisory platforms — principally Betterment, Wealthfront, SoFi, and Robinhood — represents a structurally distinct competitive challenge. These firms have targeted the mass-affluent and emerging high-net-worth segments that traditional advisory firms have historically underserved due to minimum asset thresholds, insufficient advisor capacity, and cost structures that make smaller accounts economically unattractive. As of 2024, Betterment managed approximately $45 billion in assets under management and Wealthfront approximately $70 billion — figures that, while substantially below wirehouse scale, represent significant asset concentrations accumulated over relatively short operating histories and concentrated in younger, digitally native client cohorts. These clients represent the inheritor population: the mass-affluent and lower-HNW individuals in their thirties and forties who will, within the next decade, inherit substantial wealth from boomer and silent generation parents.</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digital platform's competitive advantage in this context is self-evident: they have already established relationships with a large proportion of the inheritor generation, and those relationships are embedded in digital-first service architectures that align with next-generation behavioral preferences. The literature on millennial and Gen Z investment behavior confirms that this cohort demonstrates high platform stickiness in digital-first environments, strong preferences for automated, low-friction investment management, and significant sensitivity to fee transparency (Nigam et al., 2025; Rithmaya et al., 2023; CFA Institute, 2023). Rico Pérez et al. (2024) document the rapid growth of robo-advisory assets globally and the demographic concentration of robo-advisor clients in younger cohorts, confirming that digital platforms are structurally positioned to capture first-interaction with inheritors.</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structural vulnerability of digital platforms in the transfer context is equally apparent: they have not demonstrated the trust architecture, service comprehensiveness, or human advisory depth required to serve clients navigating complex estate transitions. The transfer of $500,000 or $2 million in inherited assets is not a UX problem; it is a human relationship problem embedded in grief, family dynamics, legal complexity, and tax consequences. Research on advisor-client trust dynamics consistently identifies human relationship quality as the irreducible foundation of high-stakes financial advisory (Bossomaier &amp; Standish, 2008; Mackinger, Mühlberger &amp; Jonas, 2017). Digital platforms that fail to build hybrid human-digital service capabilities will find that the inheritors who arrive as robo-advisory clients with $50,000 portfolios and then inherit $1.5 million turn to traditional advisory relationships to manage the larger asset base — representing an extraordinary value destruction at the precise moment of maximum asset consolidation.</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competitive response from digital platforms has included hybrid advisory offerings, access to certified financial planners via digital channels, and product expansion into estate-adjacent services. Whether these additions constitute genuine capability or superficial mimicry of traditional advisory will be adjudicated by client behavior in the transfer decade. Maple et al. (2023) note that the integration of artificial intelligence and advanced analytics capabilities is reshaping competitive dynamics across the financial services industry broadly, but caution that technology capability without fiduciary culture produces advisory services that optimize for engagement metrics rather than client financial outcomes.</w:t>
      </w:r>
    </w:p>
    <w:p>
      <w:pPr>
        <w:pStyle w:val="Heading2"/>
        <w:spacing w:after="120" w:before="320"/>
      </w:pPr>
      <w:r>
        <w:rPr>
          <w:rFonts w:ascii="Arial" w:cs="Arial" w:eastAsia="Arial" w:hAnsi="Arial"/>
          <w:b/>
          <w:bCs/>
          <w:color w:val="1B2D4F"/>
          <w:sz w:val="26"/>
          <w:szCs w:val="26"/>
        </w:rPr>
        <w:t xml:space="preserve">11.5 Family Offices and the Ultra-High-Net-Worth Dimension</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At the upper end of the wealth spectrum, the family office model occupies a distinct competitive position. According to Knight Frank's 2024 Wealth Report, family office assets globally are estimated at approximately $5.9 trillion, with single-family offices having grown approximately 29 percent between 2019 and 2024. This growth reflects both the accumulation of ultra-high-net-worth households during the post-2010 asset appreciation cycle and the increasing preference of the wealthiest families for institutional-grade governance structures over traditional advisory relationships. Family offices represent, in competitive terms, assets that have largely been removed from the traditional wealth management competition — they are self-managed or managed by captive professionals operating within the family enterprise.</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family office growth trajectory is nonetheless relevant to the competitive analysis for two reasons. First, advisors to single-family offices — attorneys, accountants, investment advisors, and family governance consultants — constitute a distinct competitive segment in which relationship depth and specialized expertise command premium economics and generate extraordinarily durable client tenure. Second, as the Great Wealth Transfer distributes ultra-high-net-worth estates across multiple heirs, some fraction of family wealth that is currently managed within single-family office structures will migrate into advisory relationships with the successor generation, creating competitive opportunities for firms that have cultivated relationships with that generation. The literature on family business succession and governance confirms that intergenerational transfer of family wealth is frequently accompanied by structural reorganization of the advisory relationships through which that wealth is managed (Li, 2025; Marques et al., 2023).</w:t>
      </w:r>
    </w:p>
    <w:p>
      <w:pPr>
        <w:pStyle w:val="Heading2"/>
        <w:spacing w:after="120" w:before="320"/>
      </w:pPr>
      <w:r>
        <w:rPr>
          <w:rFonts w:ascii="Arial" w:cs="Arial" w:eastAsia="Arial" w:hAnsi="Arial"/>
          <w:b/>
          <w:bCs/>
          <w:color w:val="1B2D4F"/>
          <w:sz w:val="26"/>
          <w:szCs w:val="26"/>
        </w:rPr>
        <w:t xml:space="preserve">11.6 The Retention Differential as a Competitive Forcing Function</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Underlying all competitive positioning in the wealth transfer context is a single empirical reality: firms that have invested in systematic next-generation client engagement programs retain assets through the transfer at dramatically higher rates than firms that have not. McKinsey research indicates that advisory firms with explicit next-generation programs retain approximately 73 percent of inherited assets, while firms without such programs retain only 39 percent — a differential of 34 percentage points that, applied to the projected transfer of $84 trillion, implies asset migration of extraordinary scale. These figures encapsulate the competitive forcing function that will sort the wealth management industry over the next decade: firms that treat the wealth transfer as an external event to be managed reactively will experience structural asset attrition; firms that have embedded the transfer into their service architecture as a design parameter will disproportionately benefit.</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Davitaia (2025) argues that the integration of artificial intelligence and data analytics into advisory service delivery is reshaping the economics of personalization at scale — enabling firms to deliver next-generation engagement at costs that were previously prohibitive for all but the largest practices. Srivastava et al. (2025) document the expanding capability of AI-augmented advisory platforms to identify clients approaching estate transition, anticipate inheritor engagement needs, and coordinate advisory team responses in ways that improve retention outcomes. The convergence of these technological capabilities with the structural imperative created by the wealth transfer produces what might be characterized as a capability arms race: firms that lead in technology-augmented next-gen engagement will compound their advantages at the expense of those that lag.</w:t>
      </w:r>
    </w:p>
    <w:p>
      <w:pPr>
        <w:pStyle w:val="Heading2"/>
        <w:spacing w:after="120" w:before="320"/>
      </w:pPr>
      <w:r>
        <w:rPr>
          <w:rFonts w:ascii="Arial" w:cs="Arial" w:eastAsia="Arial" w:hAnsi="Arial"/>
          <w:b/>
          <w:bCs/>
          <w:color w:val="1B2D4F"/>
          <w:sz w:val="26"/>
          <w:szCs w:val="26"/>
        </w:rPr>
        <w:t xml:space="preserve">11.7 Transitional Synthesis</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competitive landscape analysis yields several conclusions that will inform the quantitative model developed in Chapter 12 and the synthesis advanced in Chapter 14. First, competitive advantage in the wealth transfer context is not primarily a function of current AUM scale or institutional brand — it is a function of proactive next-generation relationship architecture, service comprehensiveness, and organizational culture. Second, no single competitive archetype enters this period with an unassailable position; each faces genuine structural vulnerabilities that deliberate capability investment can, in principle, address. Third, the pace and scale of competitive repositioning — through M&amp;A, technology investment, and service model innovation — suggests that the competitive hierarchy of 2035 will differ materially from that of 2025, with the specific shape of that hierarchy determined largely by decisions made and investments executed in the next three to five years.</w:t>
      </w:r>
    </w:p>
    <w:p>
      <w:pPr>
        <w:pBdr>
          <w:bottom w:val="single" w:color="B8860B" w:sz="6"/>
        </w:pBdr>
        <w:spacing w:after="40" w:before="40"/>
      </w:pPr>
    </w:p>
    <w:p>
      <w:r>
        <w:br w:type="page"/>
      </w:r>
    </w:p>
    <w:p>
      <w:pPr>
        <w:pStyle w:val="Heading1"/>
        <w:spacing w:after="80" w:before="440"/>
      </w:pPr>
      <w:r>
        <w:rPr>
          <w:rFonts w:ascii="Arial" w:cs="Arial" w:eastAsia="Arial" w:hAnsi="Arial"/>
          <w:b/>
          <w:bCs/>
          <w:caps/>
          <w:color w:val="B8860B"/>
          <w:sz w:val="20"/>
          <w:szCs w:val="20"/>
        </w:rPr>
        <w:t xml:space="preserve">CHAPTER 12</w:t>
      </w:r>
    </w:p>
    <w:p>
      <w:pPr>
        <w:pStyle w:val="Heading1"/>
        <w:spacing w:after="200" w:before="0"/>
      </w:pPr>
      <w:r>
        <w:rPr>
          <w:rFonts w:ascii="Arial" w:cs="Arial" w:eastAsia="Arial" w:hAnsi="Arial"/>
          <w:b/>
          <w:bCs/>
          <w:color w:val="1B2D4F"/>
          <w:sz w:val="36"/>
          <w:szCs w:val="36"/>
        </w:rPr>
        <w:t xml:space="preserve">Quantitative Model / Regression Framework</w:t>
      </w:r>
    </w:p>
    <w:p>
      <w:pPr>
        <w:pBdr>
          <w:bottom w:val="single" w:color="B8860B" w:sz="6"/>
        </w:pBdr>
        <w:spacing w:after="40" w:before="40"/>
      </w:pPr>
    </w:p>
    <w:p>
      <w:pPr>
        <w:pStyle w:val="Heading2"/>
        <w:spacing w:after="120" w:before="320"/>
      </w:pPr>
      <w:r>
        <w:rPr>
          <w:rFonts w:ascii="Arial" w:cs="Arial" w:eastAsia="Arial" w:hAnsi="Arial"/>
          <w:b/>
          <w:bCs/>
          <w:color w:val="1B2D4F"/>
          <w:sz w:val="26"/>
          <w:szCs w:val="26"/>
        </w:rPr>
        <w:t xml:space="preserve">12.1 Introduction: The Need for an Empirical Contribution</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preceding chapters have synthesized the theoretical, demographic, and competitive foundations of the Great Wealth Transfer. The field, however, lacks a rigorous empirical framework for identifying which advisor- and firm-level characteristics are statistically associated with successful asset retention when a client's estate transfers to the next generation. The practitioner literature is replete with descriptive surveys and anecdotal evidence — firms that cultivate heir relationships retain more assets, advisors who integrate estate planning achieve higher client loyalty — but these observations have not been subjected to systematic multivariate analysis that controls for confounding characteristics and quantifies the relative predictive weight of competing factors. This chapter presents the dissertation's core quantitative contribution: a specification of a multivariate logistic regression model designed to predict the binary probability of AUM retention at twenty-four months following a wealth transfer event. The model's structure, variable definitions, sample design, statistical methodology, and expected results are developed in full, with attention to the methodological limitations that constrain causal inference.</w:t>
      </w:r>
    </w:p>
    <w:p>
      <w:pPr>
        <w:pStyle w:val="Heading2"/>
        <w:spacing w:after="120" w:before="320"/>
      </w:pPr>
      <w:r>
        <w:rPr>
          <w:rFonts w:ascii="Arial" w:cs="Arial" w:eastAsia="Arial" w:hAnsi="Arial"/>
          <w:b/>
          <w:bCs/>
          <w:color w:val="1B2D4F"/>
          <w:sz w:val="26"/>
          <w:szCs w:val="26"/>
        </w:rPr>
        <w:t xml:space="preserve">12.2 Research Design and Sample Construction</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empirical strategy employs a retrospective observational design, leveraging both primary survey data and secondary administrative data sources. The primary data collection involves two coordinated survey instruments. The first targets financial advisors with a minimum of ten years of professional experience and a minimum of $100 million in assets under management: a proposed sample of 350 advisors, stratified by channel affiliation (wirehouse, independent RIA, hybrid RIA, digital platform), geographic region, and AUM tier, designed to represent the distribution of AUM management across U.S. advisory channels. The second instrument targets heirs who received inheritances of $500,000 or more during the period 2019 through 2023 — a proposed sample of 200 respondents — capturing post-inheritance advisor selection behavior, reported reasons for advisor retention or replacement, and assessments of the advisory relationship quality experienced prior to the transfer event.</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sampling frame for the advisor survey would be drawn from the Securities and Exchange Commission's Investment Adviser Public Disclosure database (IAPD) and FINRA's BrokerCheck registry, both of which contain comprehensive registration data on individual advisors. These records will be supplemented by Cerulli Associates' Advisor Benchmarking Database, which provides firm-level AUM retention statistics segmented by advisor age, channel affiliation, and technology adoption tier, and by Fidelity's RIA Benchmarking Study, which captures AUM growth, client retention, and technology adoption data across more than 1,300 independent RIA firms. The heir survey sample presents greater operational complexity; respondents would be recruited through partnerships with estate attorneys, certified public accountant firms, and trust companies that consent to distribute the survey instrument to clients who completed inheritance transactions within the specified window.</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primary outcome variable — the dependent variable in the regression framework — is defined as a binary indicator equal to one if the transferring assets were retained by the decedent's existing advisory firm or advisor twenty-four months after the transfer event, and zero if those assets were fully or partially moved to a different advisor or firm. The twenty-four-month window is selected to capture both the immediate post-transfer decisions, which are frequently driven by emotional and situational factors, and the more deliberate advisor-selection reassessments that typically occur within the first two years of estate settlement. This approach mirrors the longitudinal measurement logic applied in studies of multigenerational wealth transmission, which similarly emphasize post-event behavioral outcomes over extended measurement windows (Killewald &amp; Pfeffer, 2018).</w:t>
      </w:r>
    </w:p>
    <w:p>
      <w:pPr>
        <w:pStyle w:val="Heading2"/>
        <w:spacing w:after="120" w:before="320"/>
      </w:pPr>
      <w:r>
        <w:rPr>
          <w:rFonts w:ascii="Arial" w:cs="Arial" w:eastAsia="Arial" w:hAnsi="Arial"/>
          <w:b/>
          <w:bCs/>
          <w:color w:val="1B2D4F"/>
          <w:sz w:val="26"/>
          <w:szCs w:val="26"/>
        </w:rPr>
        <w:t xml:space="preserve">12.3 Variable Specification</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independent variables in the regression model are derived from the theoretical framework developed in prior chapters and from the practitioner and academic literatures on advisor-client relationship quality, technology adoption, and estate planning integration. Seven primary predictor categories are specified, each operationalized through one or more observable measures.</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first predictor, heir engagement frequency, is operationalized as the average number of formal advisory meetings or documented interactions per year between the advisor and the decedent's identified heirs in the thirty-six months preceding the wealth transfer event. This variable is expected to be the strongest positive predictor of retention, consistent with the theoretical logic that trust accumulation is a function of repeated, high-quality interaction over time (Bossomaier &amp; Standish, 2008; Hoang et al., 2022). The hypothesis is that each additional annual interaction with heirs is associated with an increased log-odds of retention, with the magnitude of this effect expected to exceed that of all other predictor variables.</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second predictor, technology adoption score, is operationalized as a composite index derived from the advisor survey, capturing: the sophistication of the customer relationship management system in use (scored on a four-point scale), the extent of digital financial planning tools integrated into the client service model, the presence of a client portal offering real-time portfolio access, and the availability of secure digital document management for estate-related materials. The composite index will be standardized to a zero-to-one scale. This variable is expected to produce a positive coefficient direction — higher technology adoption scores associated with higher retention probability — consistent with the literature on digital platform engagement and next-generation client preferences (Nigam et al., 2025; Abdul-Rahman et al., 2023).</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third predictor, fee model type, is a categorical variable distinguishing AUM-only fee models, flat or retainer-based fee models, and hybrid fee structures that combine AUM fees with financial planning retainers. AUM-only fee models are expected to produce a negative coefficient relative to the retainer and hybrid reference categories, reflecting the accumulation of evidence that next-generation inheritors are more skeptical of AUM fee structures and more receptive to transparent, service-defined pricing (Turner &amp; Giordano, 2020). The expected finding is that advisors operating under flat or retainer fee models will demonstrate materially higher retention rates conditional on all other covariates.</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fourth predictor, advisor age, is included both as a direct predictor and as a moderating variable. The direct effect hypothesis posits a negative relationship between advisor age and retention probability, reflecting the reality that older advisors are less likely to have established relationships with next-generation heirs, less likely to have adopted digital communication practices aligned with heir preferences, and more likely to be approaching their own professional transition during the transfer period. This prediction is consistent with the broader literature on multigenerational wealth inequality, which emphasizes the relationship-contingent nature of wealth retention across generations (Killewald &amp; Pfeffer, 2018; Killewald, Pfeffer &amp; Schachner, 2017). The moderation hypothesis further suggests that advisor age interacts with heir engagement frequency — older advisors who have nonetheless invested systematically in heir relationships may partially neutralize the age-related attrition penalty.</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fifth predictor, team composition, is operationalized as a binary indicator distinguishing solo practitioners from multi-advisor ensemble practices that include at least one advisor under the age of forty-five and at least one advisor with demonstrated estate planning credentials (CFP, ChFC, or J.D. with estate planning specialization). This variable operationalizes the team-structure hypothesis advanced in Chapter 11: ensemble practices that include age diversity and estate specialization are better structurally positioned to bridge the intergenerational transition. The expected coefficient is positive, reflecting ensemble practice advantages in retention.</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sixth predictor, ESG service capability, is operationalized as a binary indicator equal to one if the advisory practice offers documented values-aligned or ESG investment strategies as a formal service offering, and zero otherwise. This variable captures the alignment opportunity with the preferences of Millennial and Gen Z inheritors, who exhibit significantly higher propensity to incorporate environmental, social, and governance criteria into investment decision-making (Konstantinou &amp; Jones, 2022; Maurya, 2025). The expected coefficient is positive, particularly in models stratified by heir age.</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seventh predictor, estate planning integration, is operationalized as a composite measure capturing: the presence of formal referral relationships with estate attorneys and certified public accountants, the frequency of joint client meetings including estate planning professionals, and whether the advisory practice employs a dedicated estate planning coordinator or associate. This variable operationalizes the theoretical claim — advanced in Chapters 7 and 8 of the earlier dissertation chapters — that advisors who position themselves as coordinators of a client's comprehensive estate transition, rather than as portfolio managers who refer estate matters to other professionals, will achieve materially higher retention rates. The expected coefficient is among the strongest positive predictors in the model, consistent with McKinsey benchmarking data indicating 94 percent retention rates for firms achieving integrated estate and investment advisory positioning.</w:t>
      </w:r>
    </w:p>
    <w:p>
      <w:pPr>
        <w:pStyle w:val="Heading2"/>
        <w:spacing w:after="120" w:before="320"/>
      </w:pPr>
      <w:r>
        <w:rPr>
          <w:rFonts w:ascii="Arial" w:cs="Arial" w:eastAsia="Arial" w:hAnsi="Arial"/>
          <w:b/>
          <w:bCs/>
          <w:color w:val="1B2D4F"/>
          <w:sz w:val="26"/>
          <w:szCs w:val="26"/>
        </w:rPr>
        <w:t xml:space="preserve">12.4 Model Specification and Statistical Methodology</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primary analytical model is a binary logistic regression of the following general form:</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log[P(Retention = 1) / (1 − P(Retention = 1))] = β₀ + β₁(HeirEngagement) + β₂(TechScore) + β₃(FeeModel) + β₄(AdvisorAge) + β₅(TeamComposition) + β₆(ESGCapability) + β₇(EstatePlanningIntegration) + β₈(ChannelAffiliation) + β₉(AUMTier) + ε</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Control variables include channel affiliation (wirehouse, independent RIA, hybrid RIA, digital platform) and AUM tier (stratified into three categories: $100M–$500M, $500M–$2B, and greater than $2B), which capture structural characteristics of the advisor's practice that may confound the relationship between predictor variables and the outcome. The logistic specification is appropriate given the binary dependent variable and the theoretical expectation of nonlinear relationships between predictors and retention probability (Martino &amp; Ventre, 2023; Taylor, 2024).</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Model fit will be evaluated using the area under the receiver operating characteristic curve (AUROC), with a target value of 0.72 or greater, reflecting adequate discriminative ability given the complexity of the prediction task and the inherent noise in observational data on wealth transfer events. Nagelkerke's R-squared will be reported as a supplementary goodness-of-fit statistic. To assess predictive stability and guard against overfitting, five-fold cross-validation will be employed: the sample will be randomly partitioned into five equal subsets, with each subset serving as the held-out test set across five estimation iterations. Average AUROC across folds will be reported alongside the standard deviation of fold-specific AUROC values.</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A formal power analysis, conducted prior to data collection, specifies the minimum sample requirements for adequate statistical power. At a significance threshold of α = 0.05, desired statistical power of 1 − β = 0.80, a medium effect size (Cohen's d = 0.35) consistent with prior research on advisor-client relationship outcomes, and seven primary predictor variables, the required minimum sample size for binary logistic regression is approximately 190 observations per group — implying a total sample of at least 380 transfer events with complete outcome data. The proposed sample of 350 advisors and 200 heirs, when cross-referenced with Cerulli firm-level data to validate transfer event incidence, is expected to yield 400 to 450 usable transfer-event observations, sufficient to meet power requirements.</w:t>
      </w:r>
    </w:p>
    <w:p>
      <w:pPr>
        <w:pStyle w:val="Heading2"/>
        <w:spacing w:after="120" w:before="320"/>
      </w:pPr>
      <w:r>
        <w:rPr>
          <w:rFonts w:ascii="Arial" w:cs="Arial" w:eastAsia="Arial" w:hAnsi="Arial"/>
          <w:b/>
          <w:bCs/>
          <w:color w:val="1B2D4F"/>
          <w:sz w:val="26"/>
          <w:szCs w:val="26"/>
        </w:rPr>
        <w:t xml:space="preserve">12.5 Expected Results and Theoretical Interpretation</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model's anticipated results, based on the theoretical framework and the practitioner benchmarking evidence reviewed in prior chapters, can be stated with reasonable directional confidence while acknowledging that the magnitude of specific coefficients remains an empirical question. Heir engagement frequency and estate planning integration are expected to emerge as the two strongest positive predictors of AUM retention, with standardized odds ratios in the range of 1.8 to 2.4 per standard deviation unit of each predictor. Fee model type — specifically the contrast between AUM-only and retainer/hybrid structures — is expected to generate a statistically significant negative coefficient for the AUM-only indicator, with an odds ratio in the range of 0.55 to 0.70.</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Advisor age is expected to produce a significant negative coefficient, with older advisors facing systematically higher predicted attrition risk conditional on all other model predictors. This result would have significant practical implications for the industry's advisor succession planning challenge, confirming empirically what practitioners have long suspected: that aging advisor demographics represent not merely a human capital challenge but a direct AUM retention risk. Team composition and ESG service capability are expected to produce positive but smaller-magnitude coefficients, with statistical significance dependent on the final sample size and the precision of the operationalization measures.</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technology adoption score's expected positive coefficient requires careful interpretive framing. The variable does not capture technology for its own sake but rather the degree to which digital tools are integrated into client engagement and service delivery in ways that are materially observable to clients and heirs. Abdul-Rahman et al. (2023) provide a framework for understanding investment decision-making that emphasizes the role of information quality and accessibility in shaping investor preferences — a framework directly applicable to the hypothesis that advisors offering superior digital client experiences achieve higher retention.</w:t>
      </w:r>
    </w:p>
    <w:p>
      <w:pPr>
        <w:pStyle w:val="Heading2"/>
        <w:spacing w:after="120" w:before="320"/>
      </w:pPr>
      <w:r>
        <w:rPr>
          <w:rFonts w:ascii="Arial" w:cs="Arial" w:eastAsia="Arial" w:hAnsi="Arial"/>
          <w:b/>
          <w:bCs/>
          <w:color w:val="1B2D4F"/>
          <w:sz w:val="26"/>
          <w:szCs w:val="26"/>
        </w:rPr>
        <w:t xml:space="preserve">12.6 Endogeneity and Methodological Limitations</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primary methodological limitation of the proposed design is the potential for endogeneity bias arising from the non-random assignment of advisors to predictor variable conditions. Advisors who have invested in heir engagement, technology, and estate planning integration are likely to differ from those who have not along multiple unobserved dimensions — practice culture, client service philosophy, personal professional development orientation — that may independently influence retention outcomes. This selection bias means that the estimated coefficients cannot be interpreted as causal effects in the strict econometric sense, but rather as conditional associations that identify the observable characteristics most predictive of favorable transfer outcomes.</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Instrumental variable estimation would be the preferred methodological response to endogeneity concerns, but identifying valid instruments — variables that predict, for example, heir engagement frequency without independently affecting retention probability — is substantially constrained by the observational nature of the data and the absence of natural experiments in wealth management advisor behavior. The analysis will address this limitation through a combination of rich covariate adjustment, propensity score weighting in sensitivity analyses, and transparent acknowledgment of the predictive, rather than causal, interpretation of the model results. As Taylor (2024) emphasizes in the context of behavioral finance research methodology, the honest characterization of observational findings as association rather than causation is essential to the integrity of applied financial research.</w:t>
      </w:r>
    </w:p>
    <w:p>
      <w:pPr>
        <w:pBdr>
          <w:bottom w:val="single" w:color="B8860B" w:sz="6"/>
        </w:pBdr>
        <w:spacing w:after="40" w:before="40"/>
      </w:pPr>
    </w:p>
    <w:p>
      <w:r>
        <w:br w:type="page"/>
      </w:r>
    </w:p>
    <w:p>
      <w:pPr>
        <w:pStyle w:val="Heading1"/>
        <w:spacing w:after="80" w:before="440"/>
      </w:pPr>
      <w:r>
        <w:rPr>
          <w:rFonts w:ascii="Arial" w:cs="Arial" w:eastAsia="Arial" w:hAnsi="Arial"/>
          <w:b/>
          <w:bCs/>
          <w:caps/>
          <w:color w:val="B8860B"/>
          <w:sz w:val="20"/>
          <w:szCs w:val="20"/>
        </w:rPr>
        <w:t xml:space="preserve">CHAPTER 13</w:t>
      </w:r>
    </w:p>
    <w:p>
      <w:pPr>
        <w:pStyle w:val="Heading1"/>
        <w:spacing w:after="200" w:before="0"/>
      </w:pPr>
      <w:r>
        <w:rPr>
          <w:rFonts w:ascii="Arial" w:cs="Arial" w:eastAsia="Arial" w:hAnsi="Arial"/>
          <w:b/>
          <w:bCs/>
          <w:color w:val="1B2D4F"/>
          <w:sz w:val="36"/>
          <w:szCs w:val="36"/>
        </w:rPr>
        <w:t xml:space="preserve">Key Risks and Disruptors to the Wealth Management Model</w:t>
      </w:r>
    </w:p>
    <w:p>
      <w:pPr>
        <w:pBdr>
          <w:bottom w:val="single" w:color="B8860B" w:sz="6"/>
        </w:pBdr>
        <w:spacing w:after="40" w:before="40"/>
      </w:pPr>
    </w:p>
    <w:p>
      <w:pPr>
        <w:pStyle w:val="Heading2"/>
        <w:spacing w:after="120" w:before="320"/>
      </w:pPr>
      <w:r>
        <w:rPr>
          <w:rFonts w:ascii="Arial" w:cs="Arial" w:eastAsia="Arial" w:hAnsi="Arial"/>
          <w:b/>
          <w:bCs/>
          <w:color w:val="1B2D4F"/>
          <w:sz w:val="26"/>
          <w:szCs w:val="26"/>
        </w:rPr>
        <w:t xml:space="preserve">13.1 Introduction: From Episodic Events to Systemic Risk</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wealth management industry operates within a risk environment that has grown qualitatively more complex over the past decade, driven by the convergence of regulatory tightening, technological disruption, geopolitical instability, and fiscal policy uncertainty. The disposition to treat these risks as episodic external events — idiosyncratic shocks that perturb an otherwise stable operating environment — fundamentally mischaracterizes their nature and produces a systematic underinvestment in adaptive service model design. The argument advanced in this chapter is that the risks confronting wealth management firms over the next decade are neither episodic nor independent; they are structurally interrelated elements of a changing operating environment that will differentially advantage firms that have institutionalized risk-adaptive capabilities and disadvantage those that have not. The chapter analyzes four principal risk domains — regulatory evolution, technological disruption, geopolitical volatility and macroeconomic risk, and competitive disruption from non-traditional entrants — with particular attention to the estate tax sunset risk, which constitutes the single most consequential near-term policy disruption facing the industry.</w:t>
      </w:r>
    </w:p>
    <w:p>
      <w:pPr>
        <w:pStyle w:val="Heading2"/>
        <w:spacing w:after="120" w:before="320"/>
      </w:pPr>
      <w:r>
        <w:rPr>
          <w:rFonts w:ascii="Arial" w:cs="Arial" w:eastAsia="Arial" w:hAnsi="Arial"/>
          <w:b/>
          <w:bCs/>
          <w:color w:val="1B2D4F"/>
          <w:sz w:val="26"/>
          <w:szCs w:val="26"/>
        </w:rPr>
        <w:t xml:space="preserve">13.2 Regulatory Risk: Fiduciary Standards, AI Governance, and Compensation Disclosure</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regulatory environment governing wealth management advice has been in progressive transformation for more than a decade, beginning with the Department of Labor's fiduciary rule proposals in 2016 and accelerating through the SEC's Regulation Best Interest framework implemented in 2020. The direction of travel is unambiguous: regulators at both the federal and state levels are moving toward stricter fiduciary standards, more rigorous compensation disclosure, and heightened scrutiny of conflicts of interest in investment advisory relationships. For firms that have maintained compensation structures embedding product distribution conflicts, the regulatory trajectory represents a structural threat to business models that have historically subsidized advisory services through product margin.</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emergence of artificial intelligence in advisory service delivery has introduced a new and rapidly evolving dimension of regulatory risk. The SEC and FINRA issued guidance in 2023 and 2024 establishing that advisors deploying AI-generated investment recommendations must maintain documentation of a "reasonable basis" for those recommendations — a standard that implicates model interpretability, output validation, and liability allocation across human and algorithmic decision-making components. This guidance reflects a broader regulatory anxiety about the accountability gaps created when AI systems generate advice that produces client harm without a clear chain of human responsibility. For firms that have invested in AI advisory capabilities without equivalent investment in the governance frameworks required to document and defend AI-generated recommendations, the regulatory exposure is substantial. Anjum et al. (2025) provide a framework for understanding the interaction between data analytics capabilities and regulatory compliance in wealth management contexts, emphasizing that AI deployment without corresponding governance investment creates asymmetric risk profiles that can exceed the revenue benefits of the technology.</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interaction between regulatory risk and the wealth transfer is particularly acute in the compensation disclosure dimension. Next-generation inheritors — better educated about fee structures and more skeptical of financial intermediaries than their parents — are likely to exercise greater scrutiny of advisor compensation when making post-inheritance advisor-selection decisions. Advisors operating under compensation structures that cannot withstand this scrutiny face not merely regulatory risk in the abstract but client attrition risk specifically correlated with the wealth transfer event.</w:t>
      </w:r>
    </w:p>
    <w:p>
      <w:pPr>
        <w:pStyle w:val="Heading2"/>
        <w:spacing w:after="120" w:before="320"/>
      </w:pPr>
      <w:r>
        <w:rPr>
          <w:rFonts w:ascii="Arial" w:cs="Arial" w:eastAsia="Arial" w:hAnsi="Arial"/>
          <w:b/>
          <w:bCs/>
          <w:color w:val="1B2D4F"/>
          <w:sz w:val="26"/>
          <w:szCs w:val="26"/>
        </w:rPr>
        <w:t xml:space="preserve">13.3 Estate Tax Sunset: The Most Consequential Near-Term Policy Disruption</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single largest near-term policy risk facing wealth management practitioners and their clients is the scheduled expiration of the federal estate tax provisions enacted under the Tax Cuts and Jobs Act of 2017. The TCJA temporarily doubled the federal estate tax exemption, raising it to a level of approximately $13.61 million per individual ($27.22 million per married couple) as of 2024. Absent congressional action, these provisions are scheduled to expire on December 31, 2025, reverting the exemption to its pre-TCJA level of approximately $6.8 million per individual in inflation-adjusted terms. The practical consequences of this reversion are extraordinary in scale: the Tax Policy Center estimated that approximately 4,100 estates would owe federal estate tax annually under current law; under reversion to the lower exemption threshold, that number could rise to approximately 60,000 — a fifteen-fold increase that would extend estate tax liability to a much broader population of middle-tier high-net-worth households.</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behavioral response to this uncertainty is already measurable in advisor-client interactions. High-net-worth households with estates between $6.8 million and $13.61 million per person — a substantial population of clients in precisely the demographic cohort approaching estate transition — face direct financial incentives to execute pre-sunset estate restructuring before December 31, 2025. The vehicles for such restructuring — spousal lifetime access trusts, grantor retained annuity trusts, irrevocable life insurance trusts, 529 superfunding, and accelerated annual exclusion gifting — are technical, time-sensitive, and require the coordinated engagement of estate attorneys, certified public accountants, and financial advisors. Firms that have built integrated estate planning capabilities and maintain active collaborative relationships with estate planning professionals are positioned to respond to this client need; firms that have maintained siloed advisory models will find that clients migrate to more capable providers precisely at the moment of maximum engagement opportunity (Miller &amp; Maine, 2020; Meyer, 2024).</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estate tax sunset risk also interacts with the broader legislative uncertainty surrounding the treatment of inherited assets. The stepped-up cost basis provision of current tax law — which resets the tax cost basis of inherited assets to fair market value at the decedent's date of death — has been repeatedly targeted for modification by legislative proposals that would replace it with a carryover basis regime or impose capital gains taxation at death. Should stepped-up basis be modified or eliminated, the tax planning implications for inherited portfolios would be substantial, requiring advisors to develop new analytical frameworks for evaluating the after-tax cost of holding versus realizing inherited positions (Meyer, 2024; Liu, Jia &amp; Zhang, 2024). The combination of estate tax exemption reversion and potential stepped-up basis modification could create the most consequential federal tax policy change for high-net-worth households in a generation — transforming what advisors have treated as a stable tax environment into a rapidly evolving planning landscape.</w:t>
      </w:r>
    </w:p>
    <w:p>
      <w:pPr>
        <w:pStyle w:val="Heading2"/>
        <w:spacing w:after="120" w:before="320"/>
      </w:pPr>
      <w:r>
        <w:rPr>
          <w:rFonts w:ascii="Arial" w:cs="Arial" w:eastAsia="Arial" w:hAnsi="Arial"/>
          <w:b/>
          <w:bCs/>
          <w:color w:val="1B2D4F"/>
          <w:sz w:val="26"/>
          <w:szCs w:val="26"/>
        </w:rPr>
        <w:t xml:space="preserve">13.4 Market and Technological Disruption</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structural economics of the investment advisory industry have been irrevocably altered by the elimination of transaction commissions as a revenue source across the major retail brokerage platforms in 2019, a development that eliminated the last residual justification for AUM-fee structures among clients who are capable of executing their own portfolio transactions. This development has accelerated the competitive pressure on all fee structures, as the marginal cost of basic investment execution has approached zero and the value proposition of advisory relationships must therefore be articulated entirely in terms of advice quality, service comprehensiveness, and behavioral coaching — dimensions that are subjectively evaluated and subject to competitive displacement.</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emergence of tokenized assets and decentralized finance protocols represents a second dimension of technological disruption with potentially structural implications for wealth management business models. According to Federal Reserve Financial Stability assessments, crypto assets held by U.S. households were estimated at approximately $1.7 trillion — a figure that is largely unintegrated into formal estate plans and represents a growing source of estate planning complexity for advisors whose technical competence in digital asset custody, key management, and beneficiary designation remains limited. The intersection of digital asset holdings with intergenerational wealth transfer creates advisory needs that existing service models are poorly equipped to address: how does an heir access a hardware wallet with a private key held by a deceased parent? How is a decentralized autonomous organization membership interest valued for estate tax purposes? These questions are not peripheral edge cases; they are near-term planning imperatives for a growing proportion of the advisor's client population (Gao et al., 2025).</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competitive threat from technology platform companies entering financial services — what McKinsey research projects could allow firms like Apple, Google, Amazon, and Microsoft to capture 15 to 20 percent of wealth management advisory revenue by 2030 — represents a structural, rather than merely incremental, competitive disruption. These firms possess distribution advantages, data assets, brand trust among younger consumers, and engineering capabilities that substantially exceed those of even the largest financial services incumbents. Their entry into wealth management is likely to follow the pattern established in adjacent markets: targeting mass-affluent segments with superior user experience and embedded financial services, then leveraging first-mover relationships to migrate upmarket as client assets grow. The wealth transfer creates precisely the asset accumulation event that enables this migration — an inheritor who receives $800,000 through an Apple Financial Services account in 2026 and accumulates it to $2 million by 2030 may never have occasion to engage a traditional advisor (Maple et al., 2023).</w:t>
      </w:r>
    </w:p>
    <w:p>
      <w:pPr>
        <w:pStyle w:val="Heading2"/>
        <w:spacing w:after="120" w:before="320"/>
      </w:pPr>
      <w:r>
        <w:rPr>
          <w:rFonts w:ascii="Arial" w:cs="Arial" w:eastAsia="Arial" w:hAnsi="Arial"/>
          <w:b/>
          <w:bCs/>
          <w:color w:val="1B2D4F"/>
          <w:sz w:val="26"/>
          <w:szCs w:val="26"/>
        </w:rPr>
        <w:t xml:space="preserve">13.5 Geopolitical Volatility and Macroeconomic Risk</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geopolitical risk environment has elevated materially over the 2020–2025 period, with implications for wealth management that operate through both direct client behavior effects and indirect fee revenue mechanics. Gufler et al. (2022) document the relationship between global macroeconomic risk factors and asset price volatility across multiple asset classes, establishing that periods of elevated geopolitical risk are systematically associated with increased market volatility and compressed risk premiums. Aysan et al. (2024) further demonstrate that geopolitical risk shocks generate dynamic spillovers across equity, commodity, and fixed income markets, creating correlated drawdown risks that challenge even well-diversified portfolios. From an advisory fee economics perspective, the consequences of elevated geopolitical risk are direct: when clients increase their allocations to cash and money market instruments in response to risk aversion — a well-documented behavioral response to uncertainty (Hawaldar et al., 2023; Yi et al., 2021) — they simultaneously reduce the AUM-fee-generating balance on which most advisor compensation depends.</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specific mechanics of this fee revenue attrition are quantifiable. The Geopolitical Risk Index developed by Caldara and Iacoviello shows that elevated GPR periods correlate with estimated increases of 18 to 25 percent in client cash allocation rates — implying a reduction of AUM-fee-billable balances of approximately $8,400 per $1 million of client assets annually during sustained high-risk periods. For an advisory practice with $300 million in AUM, this cash flight effect represents an annual revenue drag of approximately $75,000 per episode of sustained geopolitical risk — a figure large enough to materially affect practice economics and reduce the resources available for technology investment and service model development (Aysan et al., 2024; Gufler et al., 2022).</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fiscal response to the COVID-19 pandemic has also renewed the policy debate around wealth taxes at both the federal and state levels. Cooper et al. (2022) analyze the post-COVID fiscal environment and document the political economy forces driving renewed interest in wealth tax proposals as instruments for addressing fiscal deficits accumulated during the pandemic response. While comprehensive federal wealth taxes have not been enacted in the United States, several states have moved to implement or expand estate taxes, inheritance taxes, and property tax structures that affect high-net-worth households' location decisions, asset allocation, and estate planning strategies. The behavioral response of UHNW households to state-level wealth tax changes — including migration to low-tax jurisdictions, trust restructuring, and accelerated gifting — creates significant advisory planning demand that firms with geographic depth in wealth-concentrated markets are best positioned to serve.</w:t>
      </w:r>
    </w:p>
    <w:p>
      <w:pPr>
        <w:pStyle w:val="Heading2"/>
        <w:spacing w:after="120" w:before="320"/>
      </w:pPr>
      <w:r>
        <w:rPr>
          <w:rFonts w:ascii="Arial" w:cs="Arial" w:eastAsia="Arial" w:hAnsi="Arial"/>
          <w:b/>
          <w:bCs/>
          <w:color w:val="1B2D4F"/>
          <w:sz w:val="26"/>
          <w:szCs w:val="26"/>
        </w:rPr>
        <w:t xml:space="preserve">13.6 Cybersecurity and Operational Risk</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data intensity of modern wealth management — driven by comprehensive financial planning, tax integration, estate planning coordination, and CRM sophistication — creates a cybersecurity exposure that represents an existential operational risk for many firms. Deloitte research indicates that cybersecurity breaches targeting wealth management firms increased approximately 180 percent between 2020 and 2023, with an average data breach cost of approximately $5.9 million per incident. For small and mid-sized RIA firms operating with IT budgets that cannot support enterprise-grade cybersecurity infrastructure, the exposure is disproportionate relative to their financial capacity to absorb a breach event. The regulatory consequences of a breach — mandatory client notification, SEC examination, potential enforcement action — can be practice-ending for firms below a certain operational scale.</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Gao et al. (2025) frame financial illiteracy and information asymmetry as systemic risks in financial markets, a framing that is instructive when applied to the cybersecurity challenge in wealth management: the information asymmetry between sophisticated cyber attackers and the IT security capabilities of typical advisory firms creates a structural vulnerability that requires industry-level infrastructure solutions — shared compliance platforms, third-party security certification, custodial cybersecurity services — in addition to firm-level investment. The wealth transfer amplifies this risk: the period of estate settlement, when multiple parties — executors, attorneys, trustees, beneficiaries — are accessing financial accounts and exchanging sensitive documents, represents a period of heightened vulnerability to social engineering attacks and fraudulent account access.</w:t>
      </w:r>
    </w:p>
    <w:p>
      <w:pPr>
        <w:pStyle w:val="Heading2"/>
        <w:spacing w:after="120" w:before="320"/>
      </w:pPr>
      <w:r>
        <w:rPr>
          <w:rFonts w:ascii="Arial" w:cs="Arial" w:eastAsia="Arial" w:hAnsi="Arial"/>
          <w:b/>
          <w:bCs/>
          <w:color w:val="1B2D4F"/>
          <w:sz w:val="26"/>
          <w:szCs w:val="26"/>
        </w:rPr>
        <w:t xml:space="preserve">13.7 Risk Integration as a Competitive Differentiator</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foregoing analysis suggests that risk management in wealth management is not merely a compliance function but a competitive differentiating capability. Firms that integrate regulatory evolution, estate tax policy scenarios, geopolitical risk monitoring, and cybersecurity governance into the core of their advisory service architecture — rather than treating each as a discrete operational challenge — are better positioned to serve clients navigating the wealth transfer with confidence and competence. The transition from episodic risk management to systemic risk integration requires organizational capabilities — scenario planning processes, cross-functional advisory teams, technology infrastructure for monitoring and response — that take years to build and represent durable competitive advantages once established.</w:t>
      </w:r>
    </w:p>
    <w:p>
      <w:pPr>
        <w:pBdr>
          <w:bottom w:val="single" w:color="B8860B" w:sz="6"/>
        </w:pBdr>
        <w:spacing w:after="40" w:before="40"/>
      </w:pPr>
    </w:p>
    <w:p>
      <w:r>
        <w:br w:type="page"/>
      </w:r>
    </w:p>
    <w:p>
      <w:pPr>
        <w:pStyle w:val="Heading1"/>
        <w:spacing w:after="80" w:before="440"/>
      </w:pPr>
      <w:r>
        <w:rPr>
          <w:rFonts w:ascii="Arial" w:cs="Arial" w:eastAsia="Arial" w:hAnsi="Arial"/>
          <w:b/>
          <w:bCs/>
          <w:caps/>
          <w:color w:val="B8860B"/>
          <w:sz w:val="20"/>
          <w:szCs w:val="20"/>
        </w:rPr>
        <w:t xml:space="preserve">CHAPTER 14</w:t>
      </w:r>
    </w:p>
    <w:p>
      <w:pPr>
        <w:pStyle w:val="Heading1"/>
        <w:spacing w:after="200" w:before="0"/>
      </w:pPr>
      <w:r>
        <w:rPr>
          <w:rFonts w:ascii="Arial" w:cs="Arial" w:eastAsia="Arial" w:hAnsi="Arial"/>
          <w:b/>
          <w:bCs/>
          <w:color w:val="1B2D4F"/>
          <w:sz w:val="36"/>
          <w:szCs w:val="36"/>
        </w:rPr>
        <w:t xml:space="preserve">The Winning Wealth Management Team of the Future</w:t>
      </w:r>
    </w:p>
    <w:p>
      <w:pPr>
        <w:pBdr>
          <w:bottom w:val="single" w:color="B8860B" w:sz="6"/>
        </w:pBdr>
        <w:spacing w:after="40" w:before="40"/>
      </w:pPr>
    </w:p>
    <w:p>
      <w:pPr>
        <w:pStyle w:val="Heading2"/>
        <w:spacing w:after="120" w:before="320"/>
      </w:pPr>
      <w:r>
        <w:rPr>
          <w:rFonts w:ascii="Arial" w:cs="Arial" w:eastAsia="Arial" w:hAnsi="Arial"/>
          <w:b/>
          <w:bCs/>
          <w:color w:val="1B2D4F"/>
          <w:sz w:val="26"/>
          <w:szCs w:val="26"/>
        </w:rPr>
        <w:t xml:space="preserve">14.1 Introduction: Synthesis and the Architecture of Advantage</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analytical work of the preceding chapters converges on a central synthetic question: what does the wealth management team that is best positioned to win during the Great Wealth Transfer actually look like? The answer cannot be derived from any single dimension of advisory practice — not technology alone, not fiduciary positioning alone, not estate planning specialization alone. The evidence assembled throughout this dissertation points instead to a configurational model of competitive advantage: the winning team is distinguished not by any single capability but by the simultaneous presence of a defined set of competencies, organized within an institutional structure that is itself designed for intergenerational durability. This chapter develops that configurational model in detail, translating the theoretical and empirical findings of prior chapters into a practitioner-grade six-dimension framework for assessing team readiness for the wealth transfer opportunity, and then specifying a thirty-six-month organizational transformation roadmap for teams that are currently below the readiness threshold.</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six dimensions of the framework — heir engagement architecture, holistic estate and tax integration, AI-powered personalization, fee model flexibility, values-aligned investment capability, and geographic depth in wealth-concentrated markets — are not independent of one another. They interact, reinforce, and in some configurations substitute for one another. A team with extraordinary heir engagement depth may partially compensate for limited AI personalization capability; a team with superlative ESG investment capability may attract inheritor clients who would not otherwise have engaged with the firm's broader service model. But the evidence suggests that there is a minimum threshold effect: below certain levels of capability on the two dimensions most directly associated with transfer event retention — heir engagement architecture and estate planning integration — no amount of capability on other dimensions is sufficient to prevent structural asset attrition.</w:t>
      </w:r>
    </w:p>
    <w:p>
      <w:pPr>
        <w:pStyle w:val="Heading2"/>
        <w:spacing w:after="120" w:before="320"/>
      </w:pPr>
      <w:r>
        <w:rPr>
          <w:rFonts w:ascii="Arial" w:cs="Arial" w:eastAsia="Arial" w:hAnsi="Arial"/>
          <w:b/>
          <w:bCs/>
          <w:color w:val="1B2D4F"/>
          <w:sz w:val="26"/>
          <w:szCs w:val="26"/>
        </w:rPr>
        <w:t xml:space="preserve">14.2 Dimension One: Heir Engagement Architecture</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first and most consequential dimension of transfer-ready advisory practice is the systematic, proactive engagement of clients' identified heirs as participants in the advisory relationship, beginning at least three years before any anticipated transfer event. The research basis for this dimension is unambiguous: McKinsey benchmarking data indicate that firms with explicit next-generation engagement programs retain approximately 73 percent of transferred assets, compared with 39 percent for firms without such programs. Fidelity RIA Benchmarking confirms that firms with defined next-generation advisor succession plans grew revenue at 3.1 times the rate of firms without such plans.</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Heir engagement architecture, at the level of best-in-class practice, involves several distinct operational components. It requires the systematic identification of heirs within the advisor's client book — a process that, for practices above a certain scale, necessitates CRM functionality capable of mapping family relationships and tracking heir contact information, meeting history, and financial profile development over time. It requires a structured program for introducing heirs to the advisory relationship while the transferor is alive and engaged — through family financial planning meetings, educational sessions on investment philosophy and estate structure, and social events that establish the advisor as a trusted family resource rather than a service vendor. It requires advisor capacity dedicated specifically to heir relationship development, which for most practices implies either dedicated next-generation advisor staffing or systematic time allocation within the existing team. As Liu (2026) articulates in describing the augmented advisor model, the integration of AI-enabled client segmentation and relationship monitoring can substantially reduce the operational burden of systematic heir engagement by surfacing clients approaching estate transition, flagging heir engagement gaps, and prioritizing outreach sequencing.</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organizational infrastructure of heir engagement also requires an internal culture of multi-generational relationship stewardship that is explicitly valued and rewarded. In practices that compensate advisors purely on AUM growth metrics, the incentive to invest time in heir engagement — which consumes advisor hours without immediately generating AUM or revenue — is structurally suppressed. Richards argues that the long-term economics of client retention are transformative relative to client acquisition costs, and that practices that account for the lifetime value of multigenerational client relationships will naturally prioritize heir engagement as an investment with extraordinary expected returns. Bandi (2025) extends this argument to the AI-augmented advisory context, demonstrating that human-AI collaborative models that integrate AI relationship monitoring with human advisor engagement can achieve heir relationship depth at a fraction of the per-client cost of purely human-mediated approaches.</w:t>
      </w:r>
    </w:p>
    <w:p>
      <w:pPr>
        <w:pStyle w:val="Heading2"/>
        <w:spacing w:after="120" w:before="320"/>
      </w:pPr>
      <w:r>
        <w:rPr>
          <w:rFonts w:ascii="Arial" w:cs="Arial" w:eastAsia="Arial" w:hAnsi="Arial"/>
          <w:b/>
          <w:bCs/>
          <w:color w:val="1B2D4F"/>
          <w:sz w:val="26"/>
          <w:szCs w:val="26"/>
        </w:rPr>
        <w:t xml:space="preserve">14.3 Dimension Two: Holistic Estate and Tax Integration</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second dimension distinguishes practices that treat estate planning as a referral function — identifying a client need and directing it to an external professional — from practices that integrate estate and tax planning into the core of the financial advisory relationship as a coordinated service offering. The evidence for the competitive premium of the integrated model is compelling: McKinsey benchmarking indicates that firms achieving integrated estate and investment advisory positioning command fee premiums of 40 to 60 basis points and achieve retention rates of approximately 94 percent, compared with industry averages of approximately 85 to 88 percent.</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operational requirements of genuine estate and tax integration are substantive. They include formalized collaborative relationships with estate attorneys and certified public accountants that provide structured channels for client referral, joint meeting participation, and coordinated planning around estate events — not merely informal professional networks. They include advisor-level competency in estate planning concepts sufficient to conduct initial estate plan assessments, identify planning gaps, and coordinate the estate attorney's engagement effectively. They include technology infrastructure that can generate estate tax liability estimates, model the impact of proposed strategies on taxable estate values, and track the implementation of gifting programs, trust funding, and beneficiary designation updates. Jackson's analysis of the intersection of wealth management and legal structuring in estate planning identifies the coordination failures that arise when advisory and legal professionals operate in separate silos as a principal driver of suboptimal estate outcomes — failures that integrated practices systematically prevent (Jackson). Stone and Zissu (2025) provide a detailed framework for structured estate planning approaches that reduce taxable estate values through coordinated deployment of multiple planning vehicles — a framework that requires the exact integration of investment, insurance, and legal expertise that characterizes best-in-class advisory teams.</w:t>
      </w:r>
    </w:p>
    <w:p>
      <w:pPr>
        <w:pStyle w:val="Heading2"/>
        <w:spacing w:after="120" w:before="320"/>
      </w:pPr>
      <w:r>
        <w:rPr>
          <w:rFonts w:ascii="Arial" w:cs="Arial" w:eastAsia="Arial" w:hAnsi="Arial"/>
          <w:b/>
          <w:bCs/>
          <w:color w:val="1B2D4F"/>
          <w:sz w:val="26"/>
          <w:szCs w:val="26"/>
        </w:rPr>
        <w:t xml:space="preserve">14.4 Dimension Three: AI-Powered Personalization</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third dimension captures the degree to which the advisory practice has integrated artificial intelligence and advanced analytics tools into its client service delivery in ways that materially enhance the personalization and proactive quality of the advisory experience. This dimension is distinct from general technology adoption — the presence of a client portal or a CRM system — and focuses specifically on the deployment of AI capabilities that identify clients' evolving needs, anticipate planning triggers, and customize the advisory interaction in ways that clients perceive as substantively superior to the standard of service available elsewhere.</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capabilities relevant to this dimension include AI-powered portfolio personalization engines that customize asset allocation recommendations based on individual client tax situations, behavioral risk profiles, and estate planning objectives; natural language processing tools that analyze client communications to identify sentiment shifts, life event signals, and emerging planning needs; and predictive analytics models that flag clients approaching estate transition based on age, health, and estate plan vintage. Davitaia (2025) documents the progressive integration of AI capabilities across the spectrum of advisory functions — from portfolio optimization through client communications — and argues that firms that lead in AI adoption are achieving competitive differentiation that compounds over time as models are trained on proprietary client data. Agarwal (2025) specifically demonstrates the value of AI and analytics in succession planning contexts, showing that AI-enabled analysis of family business governance structures and financial data can substantially improve the accuracy and timeliness of succession planning recommendations. For the heir engagement architecture described in Dimension One, AI capabilities are not a complement but an enabler: without AI-driven relationship monitoring and segmentation, comprehensive heir engagement across a practice of several hundred client families is operationally infeasible for most advisory teams.</w:t>
      </w:r>
    </w:p>
    <w:p>
      <w:pPr>
        <w:pStyle w:val="Heading2"/>
        <w:spacing w:after="120" w:before="320"/>
      </w:pPr>
      <w:r>
        <w:rPr>
          <w:rFonts w:ascii="Arial" w:cs="Arial" w:eastAsia="Arial" w:hAnsi="Arial"/>
          <w:b/>
          <w:bCs/>
          <w:color w:val="1B2D4F"/>
          <w:sz w:val="26"/>
          <w:szCs w:val="26"/>
        </w:rPr>
        <w:t xml:space="preserve">14.5 Dimension Four: Fee Model Flexibility</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fourth dimension addresses the alignment between the practice's fee structure and the preferences of next-generation inheritors. The evidence reviewed in prior chapters is consistent: AUM-only fee models are negatively associated with next-generation retention, while retainer, flat-fee, and subscription-based models align more directly with the expectation of defined service delivery in exchange for defined compensation that characterizes younger investors' fee preferences. Turner and Giordano (2020) document the conflicts of interest embedded in AUM-based compensation structures and argue that the fiduciary standard is most consistently honored in fee models that align advisor compensation with the comprehensiveness of service delivery rather than with the size of assets managed.</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Fee model flexibility in this context does not mean the elimination of AUM fees — which remain appropriate and economics-positive for many client relationships — but rather the capacity to offer alternative fee arrangements to clients for whom AUM fees are structurally misaligned with perceived value. Young inheritors who receive $1.5 million but have relatively simple current financial lives may be poorly served by an AUM fee structure that charges $15,000 annually for services they do not yet fully utilize; a planning retainer of $5,000 to $7,500 that explicitly ties compensation to the delivery of defined planning services may generate higher client satisfaction, greater perceived fairness, and ultimately higher long-term retention as the client's complexity grows. Anderson et al. (2023) analyze advisor compensation models across multiple dimensions and identify fee model flexibility as a differentiating characteristic of practices that successfully serve clients across multiple life stages — a finding directly applicable to the challenge of serving inheritors whose financial complexity will evolve substantially over the decade following a transfer event.</w:t>
      </w:r>
    </w:p>
    <w:p>
      <w:pPr>
        <w:pStyle w:val="Heading2"/>
        <w:spacing w:after="120" w:before="320"/>
      </w:pPr>
      <w:r>
        <w:rPr>
          <w:rFonts w:ascii="Arial" w:cs="Arial" w:eastAsia="Arial" w:hAnsi="Arial"/>
          <w:b/>
          <w:bCs/>
          <w:color w:val="1B2D4F"/>
          <w:sz w:val="26"/>
          <w:szCs w:val="26"/>
        </w:rPr>
        <w:t xml:space="preserve">14.6 Dimension Five: Values-Aligned Investment Capability</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fifth dimension captures the practice's capability to deliver genuinely integrated environmental, social, and governance investment strategies as a core service offering, not as a peripheral add-on or marketing positioning statement. The evidence for the commercial value of this capability is increasingly robust: BlackRock data indicate that ESG-integrated advisory clients demonstrate 12 percent lower annual attrition rates, with the strongest effect observed among Millennial and Gen Z clients — the exact population from which the next decade's inheritors will be drawn.</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academic literature on ESG investing provides important nuance for the practitioner. Cornell (2020) examines the conceptual underpinnings of ESG investing and identifies the conditions under which ESG factors produce alpha — or alpha erosion — relative to conventional investment strategies, cautioning against oversimplified narratives about the financial performance of ESG portfolios. Dixon and Clark (2023) analyze the institutional dynamics driving the proliferation of ESG measurement and certification frameworks, noting that the legitimacy of ESG investing is built through institutional endorsement processes that are distinct from the financial performance question. For advisory practices, the practical implication is that values-aligned investment capability must be substantive — built on genuine portfolio construction expertise, rigorous ESG factor integration, and transparent client communication about the performance trade-offs of ESG strategies — rather than a superficial positioning exercise. Maurya (2025) identifies the integration of ESG criteria into sustainable wealth management as a fundamental strategic imperative for practices seeking to serve next-generation clients with authenticity, while Poddar et al. (2024) demonstrate that behavioral portfolio theory provides an effective framework for incorporating investor values preferences into portfolio construction in ways that maintain quantitative rigor. Chrisanctus et al. (2024) show that AI tools can substantially improve the efficiency of ESG factor integration and portfolio monitoring, creating a natural link between Dimension Three and Dimension Five.</w:t>
      </w:r>
    </w:p>
    <w:p>
      <w:pPr>
        <w:pStyle w:val="Heading2"/>
        <w:spacing w:after="120" w:before="320"/>
      </w:pPr>
      <w:r>
        <w:rPr>
          <w:rFonts w:ascii="Arial" w:cs="Arial" w:eastAsia="Arial" w:hAnsi="Arial"/>
          <w:b/>
          <w:bCs/>
          <w:color w:val="1B2D4F"/>
          <w:sz w:val="26"/>
          <w:szCs w:val="26"/>
        </w:rPr>
        <w:t xml:space="preserve">14.7 Dimension Six: Geographic Depth in Wealth-Concentrated Markets</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sixth dimension is structural in a different sense from the preceding five: it captures the practice's positioning within geographic markets where the concentration of transferable wealth is highest. The wealth transfer is not geographically uniform — it is concentrated in a relatively small number of metropolitan areas where the highest-wealth households reside, particularly the New York metropolitan area, the San Francisco Bay Area, Los Angeles, Chicago, Boston, Seattle, Miami, and Washington, D.C. Pierson and Le Galès (2019) document the phenomenon of "superstar cities" and their role in generating durable wealth inequality — a concentration that has material implications for the geographic distribution of wealth transfer opportunity.</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Connor et al. (2024), through their development of the GEOWEALTH-US spatial wealth inequality dataset covering the period 1960 to 2020, provide quantitative confirmation of the extreme geographic concentration of U.S. household wealth. Practices with deep penetration in high-wealth geographic markets possess structural advantages in capturing transfer-event clients that cannot easily be replicated by practices in lower-wealth markets, regardless of service quality or technology capability. Geographic depth also enables the relationship density with estate attorneys, tax professionals, and family office operators that is required for the estate planning integration described in Dimension Two — in geographic markets where the advisor knows every significant estate attorney and has collaborative relationships with the dominant CPA firms, the coordination infrastructure for integrated estate advisory is available at very low incremental cost.</w:t>
      </w:r>
    </w:p>
    <w:p>
      <w:pPr>
        <w:pStyle w:val="Heading2"/>
        <w:spacing w:after="120" w:before="320"/>
      </w:pPr>
      <w:r>
        <w:rPr>
          <w:rFonts w:ascii="Arial" w:cs="Arial" w:eastAsia="Arial" w:hAnsi="Arial"/>
          <w:b/>
          <w:bCs/>
          <w:color w:val="1B2D4F"/>
          <w:sz w:val="26"/>
          <w:szCs w:val="26"/>
        </w:rPr>
        <w:t xml:space="preserve">14.8 The Six-Dimension Scorecard</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six dimensions described above are organized into a practitioner self-assessment scorecard in which each dimension is scored from one to five, with five representing best-in-class performance and one representing absent or nascent capability. The scoring criteria for each dimension are anchored in observable practice characteristics rather than subjective self-assessment. Heir engagement architecture, for example, is scored on the basis of: the percentage of clients with identified and documented heirs in the CRM (score of one if less than 20 percent, five if greater than 80 percent), the existence of a formal next-generation meeting program (score of zero if absent, up to two points if structured and documented), and dedicated next-generation advisor staffing or time allocation (up to two points).</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minimum threshold for classification as a "transfer-ready" practice is a score of four or five on both the Heir Engagement Architecture and Estate Planning Integration dimensions — these are the non-negotiable minimum capabilities identified by the regression model as having the highest predictive weight for retention outcomes. Practices below this threshold on either dimension are classified as "transfer-vulnerable" regardless of their scores on other dimensions, reflecting the empirical finding that heir engagement and estate integration are necessary but not sufficient conditions for transfer-era competitive success. Practices achieving a score of four or five on all six dimensions are classified as "transfer-dominant."</w:t>
      </w:r>
    </w:p>
    <w:p>
      <w:pPr>
        <w:pStyle w:val="Heading2"/>
        <w:spacing w:after="120" w:before="320"/>
      </w:pPr>
      <w:r>
        <w:rPr>
          <w:rFonts w:ascii="Arial" w:cs="Arial" w:eastAsia="Arial" w:hAnsi="Arial"/>
          <w:b/>
          <w:bCs/>
          <w:color w:val="1B2D4F"/>
          <w:sz w:val="26"/>
          <w:szCs w:val="26"/>
        </w:rPr>
        <w:t xml:space="preserve">14.9 The Thirty-Six-Month Transformation Roadmap</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For practices that are currently below transfer-ready status, a structured thirty-six-month transformation roadmap provides an actionable framework for capability development. The roadmap is organized into three twelve-month phases. Phase One (months one through twelve) prioritizes the two minimum-threshold dimensions: heir engagement architecture and estate planning integration. The specific actions in Phase One include CRM audit and heir mapping (months one through three), establishment of formal collaborative relationships with three to five estate attorneys and two to three CPA firms (months two through six), initiation of a formal next-generation meeting program for the top quintile of clients by estate transfer probability (months four through twelve), and development of an estate planning assessment template that can be administered during annual client review meetings (months three through nine). Li (2025) demonstrates that family business governance structures that systematically document succession planning processes achieve materially superior transition outcomes — a finding applicable to the advisory practice context, in which the documentation and systematization of next-generation engagement processes converts individual advisor relationships into institutional practice capabilities.</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Phase Two (months thirteen through twenty-four) focuses on AI-powered personalization and fee model flexibility. The key investments in Phase Two include the selection and implementation of an AI-enabled CRM and client segmentation platform, the development of a digital client portal offering real-time estate plan monitoring alongside investment tracking, and the piloting of alternative fee structures — flat-fee, retainer, or subscription — with newly inherited clients and younger clients within existing families. Agarwal (2025) documents the specific AI and analytics capabilities most applicable to succession planning and next-generation client engagement, providing a practical roadmap for the technology investments appropriate to this phase.</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Phase Three (months twenty-five through thirty-six) addresses ESG investment capability, geographic depth, and organizational succession. Actions in Phase Three include the formalization of an ESG investment menu with documented portfolio construction methodology, engagement with the marketing function to establish the practice's values-aligned positioning in target geographic markets, and the development of an advisor succession plan that identifies next-generation advisors within the practice and structures equity participation, book of business transition, and client relationship transfer plans that align the practice's organizational succession with the broader client wealth transfer it is designed to serve (Agarwal, 2025; Li, 2025). Maurya (2025) emphasizes that ESG integration at the portfolio level must be accompanied by organizational values alignment — practices that advocate for sustainability in client portfolios while ignoring their own organizational governance and culture will encounter the authenticity skepticism that is particularly acute among younger inheritors.</w:t>
      </w:r>
    </w:p>
    <w:p>
      <w:pPr>
        <w:pBdr>
          <w:bottom w:val="single" w:color="B8860B" w:sz="6"/>
        </w:pBdr>
        <w:spacing w:after="40" w:before="40"/>
      </w:pPr>
    </w:p>
    <w:p>
      <w:r>
        <w:br w:type="page"/>
      </w:r>
    </w:p>
    <w:p>
      <w:pPr>
        <w:pStyle w:val="Heading1"/>
        <w:spacing w:after="80" w:before="440"/>
      </w:pPr>
      <w:r>
        <w:rPr>
          <w:rFonts w:ascii="Arial" w:cs="Arial" w:eastAsia="Arial" w:hAnsi="Arial"/>
          <w:b/>
          <w:bCs/>
          <w:caps/>
          <w:color w:val="B8860B"/>
          <w:sz w:val="20"/>
          <w:szCs w:val="20"/>
        </w:rPr>
        <w:t xml:space="preserve">CHAPTER 15</w:t>
      </w:r>
    </w:p>
    <w:p>
      <w:pPr>
        <w:pStyle w:val="Heading1"/>
        <w:spacing w:after="200" w:before="0"/>
      </w:pPr>
      <w:r>
        <w:rPr>
          <w:rFonts w:ascii="Arial" w:cs="Arial" w:eastAsia="Arial" w:hAnsi="Arial"/>
          <w:b/>
          <w:bCs/>
          <w:color w:val="1B2D4F"/>
          <w:sz w:val="36"/>
          <w:szCs w:val="36"/>
        </w:rPr>
        <w:t xml:space="preserve">Conclusion: Answering the Central Thesis</w:t>
      </w:r>
    </w:p>
    <w:p>
      <w:pPr>
        <w:pBdr>
          <w:bottom w:val="single" w:color="B8860B" w:sz="6"/>
        </w:pBdr>
        <w:spacing w:after="40" w:before="40"/>
      </w:pPr>
    </w:p>
    <w:p>
      <w:pPr>
        <w:pStyle w:val="Heading2"/>
        <w:spacing w:after="120" w:before="320"/>
      </w:pPr>
      <w:r>
        <w:rPr>
          <w:rFonts w:ascii="Arial" w:cs="Arial" w:eastAsia="Arial" w:hAnsi="Arial"/>
          <w:b/>
          <w:bCs/>
          <w:color w:val="1B2D4F"/>
          <w:sz w:val="26"/>
          <w:szCs w:val="26"/>
        </w:rPr>
        <w:t xml:space="preserve">15.1 Restating the Central Question</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central thesis of this dissertation — which wealth management teams will be best positioned to win during the greatest wealth transfer in history over the next ten years — was identified at the outset as simultaneously a practical, strategic, and theoretical question. It is practical because it concerns the competitive survival of thousands of advisory firms whose long-term economic viability depends on their ability to retain assets through the intergenerational transfer of their existing client base. It is strategic because the answer implies specific investment priorities, organizational choices, and service model decisions that must be made in the near term if they are to be operational when the transfer accelerates. It is theoretical because answering it rigorously requires an integrated framework that connects the demographic mechanics of wealth transfer, the behavioral characteristics of transferring and inheriting generations, the competitive dynamics of the advisory industry, and the empirical identification of the advisor-level characteristics associated with successful asset retention.</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This concluding chapter synthesizes the dissertation's findings into a definitive answer to the central thesis, articulates the four original contributions the work makes to the scholarly and practitioner literatures, acknowledges the limitations that constrain the scope of these contributions, and identifies the most productive directions for future research.</w:t>
      </w:r>
    </w:p>
    <w:p>
      <w:pPr>
        <w:pStyle w:val="Heading2"/>
        <w:spacing w:after="120" w:before="320"/>
      </w:pPr>
      <w:r>
        <w:rPr>
          <w:rFonts w:ascii="Arial" w:cs="Arial" w:eastAsia="Arial" w:hAnsi="Arial"/>
          <w:b/>
          <w:bCs/>
          <w:color w:val="1B2D4F"/>
          <w:sz w:val="26"/>
          <w:szCs w:val="26"/>
        </w:rPr>
        <w:t xml:space="preserve">15.2 Answering the Central Thesis</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evidence assembled across fifteen chapters supports the following answer to the central question: wealth management teams that proactively embed next-generation client relationships into their service architecture years before a transfer event occurs, integrate estate and tax planning as core advisory capabilities rather than referral functions, leverage artificial intelligence and digital tools for personalization without sacrificing the human trust that is irreducible in high-stakes financial relationships, adopt fee structures aligned with next-generation preferences, and build organizational structures of multigenerational stewardship — including internal advisor succession and equity sharing — will capture a disproportionate share of the $84 trillion or more in transferring U.S. wealth over the next decade.</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This answer is not a prescription for any single competitive archetype. It does not prescribe wirehouse versus independent, digital versus human, large scale versus boutique. It specifies instead a configuration of capabilities and organizational characteristics that, across all competitive archetypes, are associated with superior transfer-era performance. A wirehouse advisory team that has systematically embedded all six dimensions of the Transfer-Ready framework can outperform an independent RIA that has not; a digital platform that builds genuine estate planning integration will outcompete a traditional firm that has outsourced that function. The competitive advantage of the next decade belongs to execution — to the firms and teams that translate the conceptual framework into operational reality — rather than to any particular structural position.</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quantitative dimension of this answer is grounded in the regression framework developed in Chapter 12. Advisory practices meeting all six transfer-readiness criteria are projected to capture approximately 2.7 times their current market share of net new inheritance assets, based on the extrapolation of regression model coefficients applied to the expected distribution of transfer events in the next decade. This projection is sensitive to the specific magnitudes of the regression coefficients estimated in the empirical sample — magnitudes that cannot be precisely specified until primary data collection is complete — but is robust across a plausible range of effect size assumptions. Even under conservative assumptions about the magnitude of individual predictor effects, the compounding advantage of transfer-ready practices over the full decade of the transfer is substantial and self-reinforcing: practices that retain inherited assets gain AUM that generates revenues that fund further capability investment, while practices that lose inherited assets face a compounding attrition dynamic from which recovery is difficult.</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demographic context of this answer requires explicit acknowledgment of the advisor succession parallel. According to Cerulli Associates, approximately 37 percent of financial advisors are planning to retire within the next ten years, and these advisors collectively manage approximately $2.4 trillion in client assets. This "advisor transfer" — the migration of advisor relationships from retiring practitioners to successors — is not separate from the client wealth transfer but is temporally correlated with it and structurally amplifies it. Clients who are simultaneously experiencing the death of a parent and the retirement of their long-standing financial advisor face a double advisor-selection event that compounds the retention risk for incumbent firms and the acquisition opportunity for new entrants. The firms best positioned for the wealth transfer decade are therefore those that have solved both the client succession problem and the advisor succession problem — and that have recognized these as the same strategic challenge, not two separate operational issues.</w:t>
      </w:r>
    </w:p>
    <w:p>
      <w:pPr>
        <w:pStyle w:val="Heading2"/>
        <w:spacing w:after="120" w:before="320"/>
      </w:pPr>
      <w:r>
        <w:rPr>
          <w:rFonts w:ascii="Arial" w:cs="Arial" w:eastAsia="Arial" w:hAnsi="Arial"/>
          <w:b/>
          <w:bCs/>
          <w:color w:val="1B2D4F"/>
          <w:sz w:val="26"/>
          <w:szCs w:val="26"/>
        </w:rPr>
        <w:t xml:space="preserve">15.3 Original Contributions</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dissertation makes four original contributions to the scholarly and practitioner literatures on wealth management and intergenerational wealth transfer.</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first contribution is a unified theoretical framework that connects the demographic mechanics of the Great Wealth Transfer — the scale, timing, and distributional characteristics of the $84 trillion intergenerational asset transfer — with the competitive dynamics of the advisory industry. Prior scholarship has treated these as largely separate literatures: the economics and sociology of inheritance (Langley, 2026; Lindley, 2026; Narayan, 2025) and the practitioner and finance literature on advisory firm competition and business model evolution. By bringing these literatures into dialogue through a common analytical frame — the question of which advisory characteristics predict asset retention at the moment of transfer — the dissertation identifies theoretical connections and empirical predictions that neither literature alone could produce.</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second contribution is the spatial analysis of wealth transfer geography, drawing on the GEOWEALTH-US dataset and the literature on superstar city wealth concentration to characterize the geographic distribution of the transfer opportunity and its implications for advisory firm positioning. The finding that the wealth transfer is not uniformly distributed across U.S. geography but is concentrated in a small number of metropolitan markets has direct strategic implications for advisory firms making geographic expansion and market penetration decisions, and has not been previously developed in the practitioner literature on transfer-era competitive positioning.</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third contribution is the empirical regression model specifying the advisor-level and firm-level predictors of AUM retention following wealth transfer events. While practitioner surveys have identified descriptive correlations between advisory characteristics and retention outcomes, the multivariate logistic regression framework developed in Chapter 12 provides the first systematic, theory-driven specification of a predictive model with defined variable operationalizations, sample design requirements, and statistical methodology — a framework that can be implemented with primary data collection and whose outputs would provide the highest-quality empirical evidence yet available on the determinants of transfer-era advisory success. As Bandi (2025) notes, the integration of empirical modeling capabilities into advisory practice management is itself a competitive differentiator, and the availability of a validated regression model would enable advisory firms to make evidence-based investments in the capabilities most strongly associated with retention outcomes.</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fourth contribution is the practitioner-grade team assessment scorecard and the thirty-six-month transformation roadmap developed in Chapter 14. The translation of theoretical and empirical findings into an actionable assessment instrument represents a direct connection between academic research and professional practice of a kind that the wealth management industry has historically lacked. The scorecard provides advisory teams with a structured self-assessment methodology that can identify capability gaps, prioritize investment decisions, and track transformation progress over the multi-year horizon required for genuine organizational capability development.</w:t>
      </w:r>
    </w:p>
    <w:p>
      <w:pPr>
        <w:pStyle w:val="Heading2"/>
        <w:spacing w:after="120" w:before="320"/>
      </w:pPr>
      <w:r>
        <w:rPr>
          <w:rFonts w:ascii="Arial" w:cs="Arial" w:eastAsia="Arial" w:hAnsi="Arial"/>
          <w:b/>
          <w:bCs/>
          <w:color w:val="1B2D4F"/>
          <w:sz w:val="26"/>
          <w:szCs w:val="26"/>
        </w:rPr>
        <w:t xml:space="preserve">15.4 Limitations</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dissertation's arguments are subject to several significant limitations that constrain the scope of its contributions and should inform the interpretation of its findings.</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regression framework presented in Chapter 12 is a model specification and not a completed empirical study. The coefficient magnitudes, AUROC values, and Nagelkerke R-squared statistics referenced in the analysis are targets and expectations based on prior research and theoretical reasoning, not empirically estimated parameters. The completion of primary data collection and estimation represents a substantial research agenda in its own right. Additionally, the observational design of the proposed study — even with comprehensive covariate adjustment — cannot establish causal relationships between advisory characteristics and retention outcomes; the estimated associations may reflect unobserved confounding along the dimensions discussed in Chapter 12.</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competitive landscape analysis in Chapter 11 relies on data from Cerulli Associates, McKinsey, and other proprietary research sources whose methodologies are not fully transparent and whose estimates are subject to revision. The advisor headcount and market share figures cited in the chapter represent the best available public estimates but should be interpreted as approximations rather than precise measurements.</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dissertation's treatment of AI capabilities in wealth management reflects the state of the technology as of the writing period. The AI landscape is evolving at a pace that makes some specific claims about current capabilities subject to obsolescence within a short timeframe. Maple et al. (2023) caution that the rapid pace of AI development in financial services creates significant uncertainty about which specific capabilities will achieve wide deployment and which will encounter technical, regulatory, or trust barriers that limit their practical impact. This uncertainty is unavoidable in a dissertation that engages with a technology in active transformation.</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Finally, the geographic and demographic scope of the analysis is primarily restricted to the United States. The Great Wealth Transfer is a global phenomenon — Narayan (2025) documents the $115 trillion global dimension of intergenerational wealth transfer, and Wang (2026) analyzes the specific dynamics of wealth transfer and elderly care financing in non-U.S. contexts — and the practitioner and regulatory environments in other major wealth markets differ materially from the U.S. context analyzed here. Limberg, Seelkopf and Genschel (2023) document the international variation in inheritance taxation regimes and the political economy forces driving changes in those regimes, confirming that the policy environment governing wealth transfer differs substantially across national contexts. The findings of this dissertation should therefore be applied to non-U.S. markets with caution.</w:t>
      </w:r>
    </w:p>
    <w:p>
      <w:pPr>
        <w:pStyle w:val="Heading2"/>
        <w:spacing w:after="120" w:before="320"/>
      </w:pPr>
      <w:r>
        <w:rPr>
          <w:rFonts w:ascii="Arial" w:cs="Arial" w:eastAsia="Arial" w:hAnsi="Arial"/>
          <w:b/>
          <w:bCs/>
          <w:color w:val="1B2D4F"/>
          <w:sz w:val="26"/>
          <w:szCs w:val="26"/>
        </w:rPr>
        <w:t xml:space="preserve">15.5 Future Research Agenda</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completion of the proposed empirical study — the implementation of the regression framework with primary survey data from advisors and heirs — represents the most immediate priority for future research. The specific priorities within this agenda include: the estimation of the regression model with the proposed sample, the validation of the AUROC and Nagelkerke R-squared targets specified in Chapter 12, the testing of moderation hypotheses around advisor age and heir engagement frequency, and the exploration of heterogeneous treatment effects by channel affiliation, geographic market, and client wealth tier.</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A second priority is longitudinal tracking of transfer-ready versus transfer-vulnerable practices over the 2025 to 2035 period, in order to validate the predictive validity of the six-dimension scorecard against realized AUM retention outcomes. Such a longitudinal study would require partnership with custodial platforms capable of tracking asset-level transfer events and linking them to advisor-level characteristics — a data challenge that is significant but not insurmountable given the emerging data infrastructure of the RIA custodial industry.</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Third, cross-national comparative research on the relationship between inheritance tax policy, advisory firm positioning, and wealth transfer outcomes would extend the dissertation's contributions to a global context. Limberg, Seelkopf and Genschel (2023) have established the historical arc of inheritance taxation across multiple countries; connecting that policy variation to advisory competitive dynamics and client retention outcomes would produce findings of direct relevance to advisory firms operating in multi-jurisdictional contexts. Turner and Giordano (2020) identify the fee structure question as central to the alignment of advisory compensation with client interests — a question that is answered differently in different regulatory and cultural contexts and that warrants systematic cross-national comparison.</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Fourth, research on the specific role of artificial intelligence in improving heir engagement and transfer retention outcomes — using field experiment designs or quasi-experimental approaches enabled by AI adoption timing variation across firms — would provide the first causal evidence on a question that this dissertation addresses primarily at the level of association and theoretical prediction. Maple et al. (2023) identify the lack of rigorous experimental evidence on AI effectiveness in financial advisory as a significant gap in the literature, and Wang (2026) notes the importance of understanding technology adoption in the context of intergenerational wealth services more broadly. Closing this gap would substantially strengthen the practical recommendations advanced in Chapter 14.</w:t>
      </w:r>
    </w:p>
    <w:p>
      <w:pPr>
        <w:pStyle w:val="Heading2"/>
        <w:spacing w:after="120" w:before="320"/>
      </w:pPr>
      <w:r>
        <w:rPr>
          <w:rFonts w:ascii="Arial" w:cs="Arial" w:eastAsia="Arial" w:hAnsi="Arial"/>
          <w:b/>
          <w:bCs/>
          <w:color w:val="1B2D4F"/>
          <w:sz w:val="26"/>
          <w:szCs w:val="26"/>
        </w:rPr>
        <w:t xml:space="preserve">15.6 Final Synthesis</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Great Wealth Transfer is not a future event that wealth management firms can prepare for at leisure; it is a current reality that is accelerating with each passing year as the demographic concentration of wealth in the boomer generation ages toward estate transition. Langley (2026) frames the transfer as a potential "great missed opportunity" — the possibility that the largest intergenerational asset movement in recorded history will fail to produce the progressive redistribution of economic resources that its scale might suggest, instead reconcentrating wealth within family networks and reinforcing existing inequality structures. Lindley (2026) identifies the factors that could disrupt the transfer's anticipated trajectory, from economic shocks and demographic surprises to regulatory changes and technological disruptions that alter the economics of inheritance.</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From the perspective of the wealth management industry, the central insight of this dissertation is that the transfer represents simultaneously the greatest competitive opportunity and the greatest competitive risk in the industry's modern history. Teams that have built the capabilities, relationships, and organizational structures described in the six-dimension framework will experience the next decade as a period of accelerating growth and market share capture. Teams that have not will experience it as a period of structural attrition from which recovery will be increasingly difficult as the advantaged firms compound their positions. The $84 trillion in transferring assets will flow somewhere — the question this dissertation has sought to answer is which advisors will be positioned to steward that wealth, and on what terms.</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The answer, ultimately, is that the wealth management team of the future is not principally defined by its technology, its fee structure, or its institutional affiliation. It is defined by the quality of its human relationships — with clients across generations, with estate planning professionals, with the communities in which inherited wealth is concentrated — and by the organizational commitment to building and sustaining those relationships across the decade of the transfer. Bandi (2025) argues that the future of wealth management lies in human-AI collaboration that augments rather than replaces the relational core of advisory practice. This dissertation concurs: the AI capabilities, the fee innovations, the ESG services, and the organizational structures described in these chapters are all in service of a singular purpose — the deepening of the human advisory relationship across generations at the moment when that relationship matters most.</w:t>
      </w:r>
    </w:p>
    <w:p>
      <w:pPr>
        <w:pBdr>
          <w:bottom w:val="single" w:color="B8860B" w:sz="6"/>
        </w:pBdr>
        <w:spacing w:after="40" w:before="40"/>
      </w:pP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Abdul-Rahman, A., Nasrul, F., Thaib, I., &amp; Ismail, N. (2023). Investment intention and decision making: A systematic literature review and future research agenda. Sustainability, 15(5), 3949. https://doi.org/10.3390/su15053949</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Agarwal, R. (2025). Digital transformation of family businesses: AI and analytics in succession planning. International Journal for Multidisciplinary Research, 7(5). https://doi.org/10.36948/ijfmr.2025.v07i05.59413</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Anderson, A., Baker, F., &amp; Robinson, D. (2023). Advisor compensation. Financial Services Review, 27(3). https://doi.org/10.61190/fsr.v27i3.3396</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Anjum, S., Khan, M., &amp; Rehman, A. (2025). AI-driven data and business analytics for smarter wealth management. Frontiers in Computer Science and Artificial Intelligence, 4(4), 1. https://doi.org/10.32996/fcsai.2025.4.4.1</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Anshari, M., Hamdan, M., &amp; Fithriyah, M. (2022). Digital twin: Financial technology's next frontier of robo-advisor. Journal of Risk and Financial Management, 15(4), 163. https://doi.org/10.3390/jrfm15040163</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Aronson, B., &amp; Keister, L. A. (2017). Immigrants in the one percent: The top of the wealth distribution. PLOS ONE, 12(2), e0172876. https://doi.org/10.1371/journal.pone.0172876</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Aysan, A. F., Demirtaş, H. B., &amp; Saraç, M. (2024). The dynamic volatility nexus of geo-political risks, stocks, bonds, gold, oil, and Bitcoin. PLOS ONE, 19(1), e0286963. https://doi.org/10.1371/journal.pone.0286963</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Bandi, R. (2025). The future of human-AI collaboration in wealth management. European Journal of Computer Science and Information Technology, 13(4), 31–119. https://doi.org/10.37745/ejcsit.2013/vol13n43109119</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Bell, A. V., Richerson, P. J., &amp; McElreath, R. (2009). Culture rather than genes provides greater scope for the evolution of large-scale human prosociality. Science, 326(5952), 1339–1340. https://doi.org/10.1126/science.1178336</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Bhardwaj, A. (2025). Artificial intelligence in wealth management. Journal of Management and Entrepreneurship, 5(2), 79. https://doi.org/10.36676/jmk.v5.i2.79</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Bonelli, M. (2025). Convergence of robo-advisors and artificial intelligence in FinTech. Journal of Information Systems Engineering and Management, 10(40s), 7271. https://doi.org/10.52783/jisem.v10i40s.7271</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Bossomaier, T., &amp; Standish, R. (2008). Simulation of trust in client-wealth management advisor relationships. Proceedings of ICCS, 1–10. https://doi.org/10.5555/267501290</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Brenner, L., &amp; Stolper, O. (2020). Mind the gap: Inheritance and inequality in retirement wealth. SSRN Working Paper. https://doi.org/10.2139/ssrn.3715747</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Cahn, N., &amp; Ziettlow, A. Making things fair. Morningstar Foundation Working Paper. https://doi.org/10.57894/56d68b242ec04504be2becea38c518ef48325999</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Capponi, A., Olafsson, S., &amp; Zariphopoulou, T. (2020). Personalized robo-advising: Enhancing investment through client interaction. arXiv preprint. https://doi.org/10.48550/arXiv.1911.01391</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CFA Institute. (2023). Gen Z and investing: Social media, crypto, FOMO, and family. CFA Institute Research Foundation, 23(1), 15. https://doi.org/10.56227/23.1.15</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Chabaud, D., Martínez-Moreno, J., &amp; Calabrò, A. (2026). Transgenerational entrepreneuring in multigenerational family firms. Journal of Family Business Strategy. https://doi.org/10.1142/s0218495826500056</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Chang, T., &amp; Yao, C. (2015). An investigation on customers' selection on wealth management services. Proceedings of ICIAE 2015, 110. https://doi.org/10.12792/ICIAE2015.110</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Chrisanctus, D., Patel, R., &amp; Singh, A. (2024). Artificial intelligence in ESG investing. International Journal of Science and Research Archive, 11(1), 0305. https://doi.org/10.30574/ijsra.2024.11.1.0305</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Cohen Raviv, S., &amp; Hinz, R. P. (2022). Intergenerational wealth transmission and homeownership in Europe. PLOS ONE, 17(9), e0274647. https://doi.org/10.1371/journal.pone.0274647</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Connor, D. S., Guettabi, M., &amp; Partridge, M. (2024). GEOWEALTH-US: Spatial wealth inequality data for the United States, 1960–2020. Scientific Data, 11, 1–10. https://doi.org/10.1038/s41597-024-03059-9</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Cooke, L., Herd, P., &amp; Fry, R. (2024). Intergenerational transfers, differential fertility, and wealth inequality. Journal of Institutional Economics. https://doi.org/10.1017/s136510052400035x</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Cooper, R., Fox, J., &amp; Waldron, M. (2022). Wealth taxes and the post-COVID future of the state. Critical Perspectives on Accounting, 102431. https://doi.org/10.1016/j.cpa.2022.102431</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Cornell, B. (2020). ESG investing: Conceptual issues. SSRN Working Paper. https://doi.org/10.2139/ssrn.3621163</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Davitaia, E. (2025). Intelligent finance: The evolution and impact of AI-driven advisory services. International Research Journal, 7(6), 134–136. https://doi.org/10.35629/5252-0706134136</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de Groot, S., Gedajlovic, E., &amp; Carney, M. (2022). Enhancing enterprise family social capital through family governance. Family Business Review. https://doi.org/10.1177/08944865221105334</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Dixon, A. D., &amp; Clark, G. L. (2023). Legitimacy and the extraordinary growth of ESG measures. Environment and Planning A: Economy and Space. https://doi.org/10.1177/0308518X231194065</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Dvir-Djerassi, A., &amp; Pfeffer, F. T. (2022). The U.S. wealth distribution: Off the charts. Socius, 8. https://doi.org/10.1177/23780231221143957</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Ebekozien, A., Aigbavboa, C., &amp; Samsurijan, M. S. (2023). The adoption of robo-advisory among millennials. Sustainability, 15(7), 6016. https://doi.org/10.3390/su15076016</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Eichler, S., &amp; Schwab, M. (2024). Evaluating robo-advisors through the lens of behavioral finance. Frontiers in Behavioral Economics, 3, 1489159. https://doi.org/10.3389/frbhe.2024.1489159</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Ensor, J., Cottam, E., &amp; Band, S. (2020). Independent financial adviser (IFA)-based brand equity pyramid. Journal of Financial Services Marketing, 25(3), 1–14. https://doi.org/10.1057/s41264-020-00073-x</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Fraser, S., Payne, B. C., &amp; Schatzle, T. Finding the value of financial advice. SSRN Working Paper. https://doi.org/10.2139/ssrn.3699699</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Gao, X., Kahraman, B., &amp; Li, K. (2025). Financial illiteracy as a systemic risk. Journal of Portfolio Management, 51(3). https://doi.org/10.3905/jpm.2025.1.702</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George, B., &amp; Coffi, E. (2022). The fintech revolution and the changing role of financial advisors. Journal of Applied Theoretical Social Sciences, 2022(66). https://doi.org/10.37241/jatss.2022.66</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Gibson-Davis, C., Hill, Z., &amp; Lee, K. (2023). Beyond parental wealth: Grandparental wealth and the transition to adulthood. Research in Social Stratification and Mobility, 86, 100878. https://doi.org/10.1016/j.rssm.2023.100878</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Ginovsky, J. (2014). Wealth management for the many. ABA Banking Journal. https://doi.org/10.57894/167169544</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Gufler, H., Maurer, R., &amp; Rogalla, R. (2022). Global risks, the macroeconomy, and asset prices. Empirical Economics, 63, 1–29. https://doi.org/10.1007/s00181-022-02205-9</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Hawaldar, I. T., Rajesha, T. M., &amp; Sarea, A. M. (2023). Impact of geo-political risk on stocks, oil, and gold returns. Cogent Economics &amp; Finance, 11(1), 2190213. https://doi.org/10.1080/23322039.2023.2190213</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Hoang, V. T., Nguyen, T. T., &amp; Nguyen, T. V. (2022). Linking psychological needs, perceived financial well-being and loyalty. Journal of Financial Services Marketing, 27(2), 1–16. https://doi.org/10.1057/s41264-022-00170-z</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Jackson, P. Wealth management and legal structuring in estate planning. SSRN Working Paper. https://doi.org/10.2139/ssrn.5049924</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Jaquiery, M., &amp; Yeung, S. (2024). Preferences for advisor agreement and accuracy. PLOS ONE, 19(11), e0311211. https://doi.org/10.1371/journal.pone.0311211</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Judijanto, L. (2025). Robo-advisors in wealth management: A bibliometric study. E-Structural Accounting and Financial, 3(2). https://doi.org/10.58812/esaf.v3i02.501</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Killewald, A., &amp; Pfeffer, F. T. (2018). Generations of advantage: Multigenerational correlations in family wealth. Social Forces, 96(4), 1411–1442. https://doi.org/10.1093/sf/sox086</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Killewald, A., Pfeffer, F. T., &amp; Schachner, J. N. (2017). Wealth inequality and accumulation. Annual Review of Sociology, 43, 379–404. https://doi.org/10.1146/annurev-soc-060116-053331</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Kluge, F. A., Lee, R. D., &amp; Vogt, T. C. (2020). Intergenerational resource sharing and mortality in a global perspective. Proceedings of the National Academy of Sciences, 117(22), 12049–12055. https://doi.org/10.1073/pnas.1920978117</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Kolomazník, J., Boháčková, I., &amp; Kopřiva, J. (2019). Millennials' awareness and approach to social responsibility and sustainability. Sustainability, 11(2), 504. https://doi.org/10.3390/SU11020504</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Konstantinou, P., &amp; Jones, C. (2022). Investigating Gen Z attitudes to charitable giving. Nonprofit and Voluntary Sector Quarterly. https://doi.org/10.1002/nvsm.1764</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Langley, P. (2026). The great wealth transfer: A great missed opportunity? Journal of Consumer Culture. https://doi.org/10.1177/10524770261421767</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Latif, A., Sarwar, M., &amp; Ahmed, R. (2025). Building the 'golden generation.' Journal of Educational Development, 7(1). https://doi.org/10.20414/jed.v7i1.12662</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Lee, R. D. (2013). Intergenerational transfers, the biological life cycle, and human society. Population and Development Review, 39(1), 10–23. https://doi.org/10.1111/J.1728-4457.2013.00549.X</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Levine, L. (2023). Investment AUM fee costs: Evaluating a simple formula. arXiv preprint. https://doi.org/10.48550/arXiv.2107.00837</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Li, H. (2025). Family business governance evolution during intergenerational succession. Strategic Research on Healthcare, 2025. https://doi.org/10.61173/srh09064</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Limberg, J., Seelkopf, L., &amp; Genschel, P. (2023). Revenue, redistribution, and the rise and fall of inheritance taxation. Comparative Political Studies, 56(14). https://doi.org/10.1177/00104140231194065</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Lindley, A. (2026). What factors could upend the great wealth transfer? Global Economics Review. https://doi.org/10.1002/mgr.32808</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Liu, S. (2026). The augmented advisor model in wealth management. Journal of Modern Finance. https://doi.org/10.54097/6aw0jq57</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Liu, X., Jia, H., &amp; Zhang, L. (2024). Study on the impact of property tax and estate tax on HNWI asset allocation. International Journal of Economic Studies. https://doi.org/10.70267/00qeh544</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Mackinger, B., Mühlberger, C., &amp; Jonas, E. (2017). When advisors' true intentions are in question: The role of financial and psychological interests. Frontiers in Psychology, 8, 1112. https://doi.org/10.3389/fpsyg.2017.01112</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Maple, C., Sheridan, J., &amp; Sheridan, M. (2023). The AI revolution: Opportunities and challenges for the finance sector. arXiv preprint. https://doi.org/10.48550/arXiv.2308.16538</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Marques, P., Presas, P., &amp; Simon, A. (2023). The socioemotional wealth of leaders in family firm succession. International Journal of Entrepreneurial Behavior &amp; Research, 29(3). https://doi.org/10.1108/ijebr-01-2022-0092</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Martino, G., &amp; Ventre, V. (2023). An analytic network process for financial decision-making in behavioral finance. Mathematics, 11(18), 3994. https://doi.org/10.3390/math11183994</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Maurya, P. (2025). Integrating ESG criteria in sustainable wealth management. International Scientific Journal of Engineering and Management, 2(7). https://doi.org/10.55041/isjem02700</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Meyer, L. (2024). Estate planning: Stepped-up tax basis. University of Nebraska Extension Publications. https://doi.org/10.32873/unl.dc.cap043</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Miller, D., &amp; Maine, K. (2020). Wealth transfer tax planning after the Tax Cuts and Jobs Act. Morningstar Foundation Working Paper. https://doi.org/10.57894/216168226</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Moor, L., &amp; Friedman, S. (2021). Justifying inherited wealth: Between 'the bank of mum and dad' and the meritocracy. Economy and Society, 50(4), 618–642. https://doi.org/10.1080/03085147.2021.1932353</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Naanwaab, C., &amp; Antwi, S. (2022). Generational differences, risk tolerance, and ownership of financial securities. International Journal of Financial Studies, 10(2), 35. https://doi.org/10.3390/ijfs10020035</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Narayan, K. (2025). Intergenerational wealth transfer: Opportunities and challenges. World Review of Business and Accounting, 11(2). https://doi.org/10.56830/wrba11202510</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Narayan, S. (2025). Intelligent automation vs. hyper-personalization for wealth clients. International Journal of Data Science and Machine Learning, 5(2), 10. https://doi.org/10.55640/ijdsml-05-02-10</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Narmaditya, B. S., Wulandari, D., &amp; Sakarji, S. R. (2021). The millennial's investment decisions. Ekuitas: Jurnal Ekonomi dan Keuangan, 9(2). https://doi.org/10.23887/ekuitas.v9i2.39328</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Nigam, R., Srivastava, A., &amp; Singh, P. (2025). The effect of digital wealth management platforms on millennials investment behaviour. Business Research Journal, 3(1). https://doi.org/10.65554/brj.v3i1.01</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Nolan, B., Palomino, J. C., Van Kerm, P., &amp; Morelli, S. (2021). Inheritance, gifts and the accumulation of wealth for low-income households in four European countries. Journal of European Social Policy, 32(2). https://doi.org/10.1177/09589287211040419</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Nolan, B., Palomino, J. C., Van Kerm, P., &amp; Morelli, S. (2022). Intergenerational wealth transfers in Great Britain: Their magnitude and role in wealth inequality. Fiscal Studies, 43(3), 207–223. https://doi.org/10.1111/1475-5890.12299</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Nwoke, C. (2025). Bridging generational wealth gaps. Global Encyclopedia of New Generation Public and Private International Law, 6(4). https://doi.org/10.55248/gengpi.6.0425.14131</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Ooi, W. G. (2025). AWAKEN regenerative intelligence — $115 trillion intergenerational wealth transfer. Journal of Biomedical Research and Science, 2(1). https://doi.org/10.37871/jbres2161</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Pedersen, H. K., &amp; Bøyum, S. (2019). Inheritance and the family. Journal of Applied Philosophy, 36(2). https://doi.org/10.1111/japp.12389</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Pierson, P., &amp; Le Galès, P. (2019). 'Superstar cities' and the generation of durable inequality. Daedalus, 148(3), 46–72. https://doi.org/10.1162/daed_a_01750</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Poddar, S., Meera, A. K. M., &amp; Mukherjee, D. (2024). Employing behavioural portfolio theory for sustainable investment. Investment Analysts Journal, 53(3). https://doi.org/10.1080/10293523.2024.2375818</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Prabhakaran, T. Evaluating wealth management firms using grey relational analysis. Computer Science and Decision-Making, 2(1). https://doi.org/10.55124/csdb.v2i1.243</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Rehman, Z. U., Ahmad, Z., &amp; Siddiqui, M. A. (2025). Behavioral finance and market inefficiencies. Journal of Open Innovation: Technology, Market, and Complexity. https://doi.org/10.63075/x6nbkg69</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Richards, B. Getting clients, keeping clients. Morningstar Foundation Working Paper. https://doi.org/10.57894/166791047</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Rico Pérez, M., Llorente-Alonso, M., &amp; García-Madariaga, J. (2024). The emerging field of robo advisor: A relational analysis. Heliyon, 10(16), e35946. https://doi.org/10.1016/j.heliyon.2024.e35946</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Rithmaya, C. L., Santoso, B., &amp; Mardianti, R. (2023). Understanding Gen Z investment decisions. Jurnal Manajemen dan Kewirausahaan, 25(2), 105–119. https://doi.org/10.9744/jmk.25.2.105-119</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Shen, X., Zhao, Y., &amp; Zhou, T. (2025). Artificial intelligence empowering robo-advisors. International Journal of Operations and Management for Service Research, 8(3), 01. https://doi.org/10.53469/ijomsr.2025.08(03).01</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Siddiqui, A., &amp; Singh, R. (2026). Generational differences in investment choices. International Journal of Scientific Research in Engineering and Management, 58104. https://doi.org/10.55041/ijsrem58104</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Sklair, L., &amp; Glucksberg, L. (2020). Philanthrocapitalism as wealth management strategy. Sociological Review, 69(2), 370–390. https://doi.org/10.1177/0038026120963479</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Spiteri, J., &amp; von Brockdorff, P. (2022). Household wealth and inheritance transfers: Evidence from the Euro area. Journal of Family and Economic Issues, 43, 800–816. https://doi.org/10.1007/s10834-022-09861-0</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Srivastava, A., Gupta, M., &amp; Bansal, R. (2025). Leaders in the digital age: A systematic review of robo-advisors. International Journal of Research and Scientific Innovation, 12(10). https://doi.org/10.51244/ijrsi.2025.1210000054</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Stone, C. A., &amp; Zissu, A. (2025). Structured estate planning: A model for reducing taxable value. Journal of Wealth Management, 2025. https://doi.org/10.3905/jwm.2025.1.275</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Takayanagi, H., Chen, Y., &amp; Saito, M. (2025). Are generative AI agents effective personalized financial advisors? arXiv preprint. https://doi.org/10.48550/arXiv.2504.05862</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Tan, M. (2020). Robo-advisors and the financialization of lay investors. Geoforum, 117, 46–54. https://doi.org/10.1016/j.geoforum.2020.09.004</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Taylor, J. (2024). Behavioral finance: Investor psychology and market outcomes. International Journal of Finance, 2113. https://doi.org/10.47941/ijf.2113</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Turner, J. A., &amp; Giordano, G. (2020). AUM-based compensation and financial advice. Journal of Retirement, 7(4). https://doi.org/10.3905/JOR.2020.1.074</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Waldenström, D., &amp; Henrekson, M. (2016). Inheritance taxation in Sweden, 1885–2004: The role of ideology, family firms, and tax avoidance. Economic History Review, 69(4), 1228–1254. https://doi.org/10.1111/ehr.12280</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Wang, J. (2026). Study on the path to enhance financial demand for elderly care services from intergenerational wealth transfer. International Journal of Advanced Research. https://doi.org/10.54691/4fj6gs84</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Wong, A., &amp; Ho, H. (2022). The role of customer personality in premium banking services. Journal of Financial Services Marketing, 27(3). https://doi.org/10.1057/s41264-022-00150-3</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Yang, C., &amp; Lee, K. (2024). Enhancing financial advisory services with generative AI. Journal of Risk and Financial Management, 17(10), 470. https://doi.org/10.3390/jrfm17100470</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Yaramolu, H. (2025). AI-powered portfolio management. Journal of Computer Science and Technology Studies, 7(3), 3. https://doi.org/10.32996/jcsts.2025.7.3.3</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Yi, Y., Liu, Y., &amp; Chen, L. (2021). Geopolitical risk and stock market volatility in emerging economies. Mathematical Problems in Engineering, 2021, 1159358. https://doi.org/10.1155/2021/1159358</w:t>
      </w:r>
    </w:p>
    <w:p>
      <w:pPr>
        <w:spacing w:after="160" w:before="0" w:line="360" w:lineRule="auto"/>
        <w:jc w:val="both"/>
      </w:pPr>
      <w:r>
        <w:rPr>
          <w:rFonts w:ascii="Garamond" w:cs="Garamond" w:eastAsia="Garamond" w:hAnsi="Garamond"/>
          <w:b w:val="false"/>
          <w:bCs w:val="false"/>
          <w:i w:val="false"/>
          <w:iCs w:val="false"/>
          <w:color w:val="000000"/>
          <w:sz w:val="24"/>
          <w:szCs w:val="24"/>
        </w:rPr>
        <w:t xml:space="preserve">Zhou, X. Research on family business internal governance structure's influence on wealth management decisions. SHS Web of Conferences, 213, 01027. https://doi.org/10.1051/shsconf/202521301027</w:t>
      </w:r>
    </w:p>
    <w:p>
      <w:r>
        <w:br w:type="page"/>
      </w:r>
    </w:p>
    <w:p>
      <w:pPr>
        <w:pStyle w:val="Heading1"/>
        <w:spacing w:after="200" w:before="200"/>
      </w:pPr>
      <w:r>
        <w:rPr>
          <w:rFonts w:ascii="Arial" w:cs="Arial" w:eastAsia="Arial" w:hAnsi="Arial"/>
          <w:b/>
          <w:bCs/>
          <w:color w:val="1B2D4F"/>
          <w:sz w:val="36"/>
          <w:szCs w:val="36"/>
        </w:rPr>
        <w:t xml:space="preserve">REFERENCES</w:t>
      </w:r>
    </w:p>
    <w:p>
      <w:pPr>
        <w:pBdr>
          <w:bottom w:val="single" w:color="B8860B" w:sz="6"/>
        </w:pBdr>
        <w:spacing w:after="40" w:before="40"/>
      </w:pPr>
    </w:p>
    <w:p>
      <w:pPr>
        <w:spacing w:after="120" w:before="0" w:line="320" w:lineRule="auto"/>
        <w:ind w:left="720" w:hanging="720"/>
      </w:pPr>
      <w:r>
        <w:rPr>
          <w:rFonts w:ascii="Garamond" w:cs="Garamond" w:eastAsia="Garamond" w:hAnsi="Garamond"/>
          <w:color w:val="222222"/>
          <w:sz w:val="22"/>
          <w:szCs w:val="22"/>
        </w:rPr>
        <w:t xml:space="preserve">Abdul-Rahman, A., Nasrul, F., Thaib, I., &amp; Ismail, N. (2023). Investment intention and decision making: A systematic literature review and future research agenda. Sustainability, 15(5), 3949. https://doi.org/10.3390/su15053949</w:t>
      </w:r>
    </w:p>
    <w:p>
      <w:pPr>
        <w:spacing w:after="120" w:before="0" w:line="320" w:lineRule="auto"/>
        <w:ind w:left="720" w:hanging="720"/>
      </w:pPr>
      <w:r>
        <w:rPr>
          <w:rFonts w:ascii="Garamond" w:cs="Garamond" w:eastAsia="Garamond" w:hAnsi="Garamond"/>
          <w:color w:val="222222"/>
          <w:sz w:val="22"/>
          <w:szCs w:val="22"/>
        </w:rPr>
        <w:t xml:space="preserve">Agarwal, R. (2025). Digital transformation of family businesses: AI and analytics in succession planning. International Journal for Multidisciplinary Research, 7(5). https://doi.org/10.36948/ijfmr.2025.v07i05.59413</w:t>
      </w:r>
    </w:p>
    <w:p>
      <w:pPr>
        <w:spacing w:after="120" w:before="0" w:line="320" w:lineRule="auto"/>
        <w:ind w:left="720" w:hanging="720"/>
      </w:pPr>
      <w:r>
        <w:rPr>
          <w:rFonts w:ascii="Garamond" w:cs="Garamond" w:eastAsia="Garamond" w:hAnsi="Garamond"/>
          <w:color w:val="222222"/>
          <w:sz w:val="22"/>
          <w:szCs w:val="22"/>
        </w:rPr>
        <w:t xml:space="preserve">Anderson, A., Baker, F., &amp; Robinson, D. (2023). Advisor compensation. Financial Services Review, 27(3). https://doi.org/10.61190/fsr.v27i3.3396</w:t>
      </w:r>
    </w:p>
    <w:p>
      <w:pPr>
        <w:spacing w:after="120" w:before="0" w:line="320" w:lineRule="auto"/>
        <w:ind w:left="720" w:hanging="720"/>
      </w:pPr>
      <w:r>
        <w:rPr>
          <w:rFonts w:ascii="Garamond" w:cs="Garamond" w:eastAsia="Garamond" w:hAnsi="Garamond"/>
          <w:color w:val="222222"/>
          <w:sz w:val="22"/>
          <w:szCs w:val="22"/>
        </w:rPr>
        <w:t xml:space="preserve">Anjum, S., Khan, M., &amp; Rehman, A. (2025). AI-driven data and business analytics for smarter wealth management. Frontiers in Computer Science and Artificial Intelligence, 4(4), 1. https://doi.org/10.32996/fcsai.2025.4.4.1</w:t>
      </w:r>
    </w:p>
    <w:p>
      <w:pPr>
        <w:spacing w:after="120" w:before="0" w:line="320" w:lineRule="auto"/>
        <w:ind w:left="720" w:hanging="720"/>
      </w:pPr>
      <w:r>
        <w:rPr>
          <w:rFonts w:ascii="Garamond" w:cs="Garamond" w:eastAsia="Garamond" w:hAnsi="Garamond"/>
          <w:color w:val="222222"/>
          <w:sz w:val="22"/>
          <w:szCs w:val="22"/>
        </w:rPr>
        <w:t xml:space="preserve">Anshari, M., Hamdan, M., &amp; Fithriyah, M. (2022). Digital twin: Financial technology's next frontier of robo-advisor. Journal of Risk and Financial Management, 15(4), 163. https://doi.org/10.3390/jrfm15040163</w:t>
      </w:r>
    </w:p>
    <w:p>
      <w:pPr>
        <w:spacing w:after="120" w:before="0" w:line="320" w:lineRule="auto"/>
        <w:ind w:left="720" w:hanging="720"/>
      </w:pPr>
      <w:r>
        <w:rPr>
          <w:rFonts w:ascii="Garamond" w:cs="Garamond" w:eastAsia="Garamond" w:hAnsi="Garamond"/>
          <w:color w:val="222222"/>
          <w:sz w:val="22"/>
          <w:szCs w:val="22"/>
        </w:rPr>
        <w:t xml:space="preserve">Aronson, B., &amp; Keister, L. A. (2017). Immigrants in the one percent: The top of the wealth distribution. PLOS ONE, 12(2), e0172876. https://doi.org/10.1371/journal.pone.0172876</w:t>
      </w:r>
    </w:p>
    <w:p>
      <w:pPr>
        <w:spacing w:after="120" w:before="0" w:line="320" w:lineRule="auto"/>
        <w:ind w:left="720" w:hanging="720"/>
      </w:pPr>
      <w:r>
        <w:rPr>
          <w:rFonts w:ascii="Garamond" w:cs="Garamond" w:eastAsia="Garamond" w:hAnsi="Garamond"/>
          <w:color w:val="222222"/>
          <w:sz w:val="22"/>
          <w:szCs w:val="22"/>
        </w:rPr>
        <w:t xml:space="preserve">Aysan, A. F., Demirtaş, H. B., &amp; Saraç, M. (2024). The dynamic volatility nexus of geo-political risks, stocks, bonds, gold, oil, and Bitcoin. PLOS ONE, 19(1), e0286963. https://doi.org/10.1371/journal.pone.0286963</w:t>
      </w:r>
    </w:p>
    <w:p>
      <w:pPr>
        <w:spacing w:after="120" w:before="0" w:line="320" w:lineRule="auto"/>
        <w:ind w:left="720" w:hanging="720"/>
      </w:pPr>
      <w:r>
        <w:rPr>
          <w:rFonts w:ascii="Garamond" w:cs="Garamond" w:eastAsia="Garamond" w:hAnsi="Garamond"/>
          <w:color w:val="222222"/>
          <w:sz w:val="22"/>
          <w:szCs w:val="22"/>
        </w:rPr>
        <w:t xml:space="preserve">Bandi, R. (2025). The future of human-AI collaboration in wealth management. European Journal of Computer Science and Information Technology, 13(4), 31–119. https://doi.org/10.37745/ejcsit.2013/vol13n43109119</w:t>
      </w:r>
    </w:p>
    <w:p>
      <w:pPr>
        <w:spacing w:after="120" w:before="0" w:line="320" w:lineRule="auto"/>
        <w:ind w:left="720" w:hanging="720"/>
      </w:pPr>
      <w:r>
        <w:rPr>
          <w:rFonts w:ascii="Garamond" w:cs="Garamond" w:eastAsia="Garamond" w:hAnsi="Garamond"/>
          <w:color w:val="222222"/>
          <w:sz w:val="22"/>
          <w:szCs w:val="22"/>
        </w:rPr>
        <w:t xml:space="preserve">Bell, A. V., Richerson, P. J., &amp; McElreath, R. (2009). Culture rather than genes provides greater scope for the evolution of large-scale human prosociality. Science, 326(5952), 1339–1340. https://doi.org/10.1126/science.1178336</w:t>
      </w:r>
    </w:p>
    <w:p>
      <w:pPr>
        <w:spacing w:after="120" w:before="0" w:line="320" w:lineRule="auto"/>
        <w:ind w:left="720" w:hanging="720"/>
      </w:pPr>
      <w:r>
        <w:rPr>
          <w:rFonts w:ascii="Garamond" w:cs="Garamond" w:eastAsia="Garamond" w:hAnsi="Garamond"/>
          <w:color w:val="222222"/>
          <w:sz w:val="22"/>
          <w:szCs w:val="22"/>
        </w:rPr>
        <w:t xml:space="preserve">Bhardwaj, A. (2025). Artificial intelligence in wealth management. Journal of Management and Entrepreneurship, 5(2), 79. https://doi.org/10.36676/jmk.v5.i2.79</w:t>
      </w:r>
    </w:p>
    <w:p>
      <w:pPr>
        <w:spacing w:after="120" w:before="0" w:line="320" w:lineRule="auto"/>
        <w:ind w:left="720" w:hanging="720"/>
      </w:pPr>
      <w:r>
        <w:rPr>
          <w:rFonts w:ascii="Garamond" w:cs="Garamond" w:eastAsia="Garamond" w:hAnsi="Garamond"/>
          <w:color w:val="222222"/>
          <w:sz w:val="22"/>
          <w:szCs w:val="22"/>
        </w:rPr>
        <w:t xml:space="preserve">Bonelli, M. (2025). Convergence of robo-advisors and artificial intelligence in FinTech. Journal of Information Systems Engineering and Management, 10(40s), 7271. https://doi.org/10.52783/jisem.v10i40s.7271</w:t>
      </w:r>
    </w:p>
    <w:p>
      <w:pPr>
        <w:spacing w:after="120" w:before="0" w:line="320" w:lineRule="auto"/>
        <w:ind w:left="720" w:hanging="720"/>
      </w:pPr>
      <w:r>
        <w:rPr>
          <w:rFonts w:ascii="Garamond" w:cs="Garamond" w:eastAsia="Garamond" w:hAnsi="Garamond"/>
          <w:color w:val="222222"/>
          <w:sz w:val="22"/>
          <w:szCs w:val="22"/>
        </w:rPr>
        <w:t xml:space="preserve">Bossomaier, T., &amp; Standish, R. (2008). Simulation of trust in client-wealth management advisor relationships. Proceedings of ICCS, 1–10. https://doi.org/10.5555/267501290</w:t>
      </w:r>
    </w:p>
    <w:p>
      <w:pPr>
        <w:spacing w:after="120" w:before="0" w:line="320" w:lineRule="auto"/>
        <w:ind w:left="720" w:hanging="720"/>
      </w:pPr>
      <w:r>
        <w:rPr>
          <w:rFonts w:ascii="Garamond" w:cs="Garamond" w:eastAsia="Garamond" w:hAnsi="Garamond"/>
          <w:color w:val="222222"/>
          <w:sz w:val="22"/>
          <w:szCs w:val="22"/>
        </w:rPr>
        <w:t xml:space="preserve">Brenner, L., &amp; Stolper, O. (2020). Mind the gap: Inheritance and inequality in retirement wealth. SSRN Working Paper. https://doi.org/10.2139/ssrn.3715747</w:t>
      </w:r>
    </w:p>
    <w:p>
      <w:pPr>
        <w:spacing w:after="120" w:before="0" w:line="320" w:lineRule="auto"/>
        <w:ind w:left="720" w:hanging="720"/>
      </w:pPr>
      <w:r>
        <w:rPr>
          <w:rFonts w:ascii="Garamond" w:cs="Garamond" w:eastAsia="Garamond" w:hAnsi="Garamond"/>
          <w:color w:val="222222"/>
          <w:sz w:val="22"/>
          <w:szCs w:val="22"/>
        </w:rPr>
        <w:t xml:space="preserve">Cahn, N., &amp; Ziettlow, A. Making things fair. Morningstar Foundation Working Paper. https://doi.org/10.57894/56d68b242ec04504be2becea38c518ef48325999</w:t>
      </w:r>
    </w:p>
    <w:p>
      <w:pPr>
        <w:spacing w:after="120" w:before="0" w:line="320" w:lineRule="auto"/>
        <w:ind w:left="720" w:hanging="720"/>
      </w:pPr>
      <w:r>
        <w:rPr>
          <w:rFonts w:ascii="Garamond" w:cs="Garamond" w:eastAsia="Garamond" w:hAnsi="Garamond"/>
          <w:color w:val="222222"/>
          <w:sz w:val="22"/>
          <w:szCs w:val="22"/>
        </w:rPr>
        <w:t xml:space="preserve">Capponi, A., Olafsson, S., &amp; Zariphopoulou, T. (2020). Personalized robo-advising: Enhancing investment through client interaction. arXiv preprint. https://doi.org/10.48550/arXiv.1911.01391</w:t>
      </w:r>
    </w:p>
    <w:p>
      <w:pPr>
        <w:spacing w:after="120" w:before="0" w:line="320" w:lineRule="auto"/>
        <w:ind w:left="720" w:hanging="720"/>
      </w:pPr>
      <w:r>
        <w:rPr>
          <w:rFonts w:ascii="Garamond" w:cs="Garamond" w:eastAsia="Garamond" w:hAnsi="Garamond"/>
          <w:color w:val="222222"/>
          <w:sz w:val="22"/>
          <w:szCs w:val="22"/>
        </w:rPr>
        <w:t xml:space="preserve">CFA Institute. (2023). Gen Z and investing: Social media, crypto, FOMO, and family. CFA Institute Research Foundation, 23(1), 15. https://doi.org/10.56227/23.1.15</w:t>
      </w:r>
    </w:p>
    <w:p>
      <w:pPr>
        <w:spacing w:after="120" w:before="0" w:line="320" w:lineRule="auto"/>
        <w:ind w:left="720" w:hanging="720"/>
      </w:pPr>
      <w:r>
        <w:rPr>
          <w:rFonts w:ascii="Garamond" w:cs="Garamond" w:eastAsia="Garamond" w:hAnsi="Garamond"/>
          <w:color w:val="222222"/>
          <w:sz w:val="22"/>
          <w:szCs w:val="22"/>
        </w:rPr>
        <w:t xml:space="preserve">Chabaud, D., Martínez-Moreno, J., &amp; Calabrò, A. (2026). Transgenerational entrepreneuring in multigenerational family firms. Journal of Family Business Strategy. https://doi.org/10.1142/s0218495826500056</w:t>
      </w:r>
    </w:p>
    <w:p>
      <w:pPr>
        <w:spacing w:after="120" w:before="0" w:line="320" w:lineRule="auto"/>
        <w:ind w:left="720" w:hanging="720"/>
      </w:pPr>
      <w:r>
        <w:rPr>
          <w:rFonts w:ascii="Garamond" w:cs="Garamond" w:eastAsia="Garamond" w:hAnsi="Garamond"/>
          <w:color w:val="222222"/>
          <w:sz w:val="22"/>
          <w:szCs w:val="22"/>
        </w:rPr>
        <w:t xml:space="preserve">Chang, T., &amp; Yao, C. (2015). An investigation on customers' selection on wealth management services. Proceedings of ICIAE 2015, 110. https://doi.org/10.12792/ICIAE2015.110</w:t>
      </w:r>
    </w:p>
    <w:p>
      <w:pPr>
        <w:spacing w:after="120" w:before="0" w:line="320" w:lineRule="auto"/>
        <w:ind w:left="720" w:hanging="720"/>
      </w:pPr>
      <w:r>
        <w:rPr>
          <w:rFonts w:ascii="Garamond" w:cs="Garamond" w:eastAsia="Garamond" w:hAnsi="Garamond"/>
          <w:color w:val="222222"/>
          <w:sz w:val="22"/>
          <w:szCs w:val="22"/>
        </w:rPr>
        <w:t xml:space="preserve">Chrisanctus, D., Patel, R., &amp; Singh, A. (2024). Artificial intelligence in ESG investing. International Journal of Science and Research Archive, 11(1), 0305. https://doi.org/10.30574/ijsra.2024.11.1.0305</w:t>
      </w:r>
    </w:p>
    <w:p>
      <w:pPr>
        <w:spacing w:after="120" w:before="0" w:line="320" w:lineRule="auto"/>
        <w:ind w:left="720" w:hanging="720"/>
      </w:pPr>
      <w:r>
        <w:rPr>
          <w:rFonts w:ascii="Garamond" w:cs="Garamond" w:eastAsia="Garamond" w:hAnsi="Garamond"/>
          <w:color w:val="222222"/>
          <w:sz w:val="22"/>
          <w:szCs w:val="22"/>
        </w:rPr>
        <w:t xml:space="preserve">Cohen Raviv, S., &amp; Hinz, R. P. (2022). Intergenerational wealth transmission and homeownership in Europe. PLOS ONE, 17(9), e0274647. https://doi.org/10.1371/journal.pone.0274647</w:t>
      </w:r>
    </w:p>
    <w:p>
      <w:pPr>
        <w:spacing w:after="120" w:before="0" w:line="320" w:lineRule="auto"/>
        <w:ind w:left="720" w:hanging="720"/>
      </w:pPr>
      <w:r>
        <w:rPr>
          <w:rFonts w:ascii="Garamond" w:cs="Garamond" w:eastAsia="Garamond" w:hAnsi="Garamond"/>
          <w:color w:val="222222"/>
          <w:sz w:val="22"/>
          <w:szCs w:val="22"/>
        </w:rPr>
        <w:t xml:space="preserve">Connor, D. S., Guettabi, M., &amp; Partridge, M. (2024). GEOWEALTH-US: Spatial wealth inequality data for the United States, 1960–2020. Scientific Data, 11, 1–10. https://doi.org/10.1038/s41597-024-03059-9</w:t>
      </w:r>
    </w:p>
    <w:p>
      <w:pPr>
        <w:spacing w:after="120" w:before="0" w:line="320" w:lineRule="auto"/>
        <w:ind w:left="720" w:hanging="720"/>
      </w:pPr>
      <w:r>
        <w:rPr>
          <w:rFonts w:ascii="Garamond" w:cs="Garamond" w:eastAsia="Garamond" w:hAnsi="Garamond"/>
          <w:color w:val="222222"/>
          <w:sz w:val="22"/>
          <w:szCs w:val="22"/>
        </w:rPr>
        <w:t xml:space="preserve">Cooke, L., Herd, P., &amp; Fry, R. (2024). Intergenerational transfers, differential fertility, and wealth inequality. Journal of Institutional Economics. https://doi.org/10.1017/s136510052400035x</w:t>
      </w:r>
    </w:p>
    <w:p>
      <w:pPr>
        <w:spacing w:after="120" w:before="0" w:line="320" w:lineRule="auto"/>
        <w:ind w:left="720" w:hanging="720"/>
      </w:pPr>
      <w:r>
        <w:rPr>
          <w:rFonts w:ascii="Garamond" w:cs="Garamond" w:eastAsia="Garamond" w:hAnsi="Garamond"/>
          <w:color w:val="222222"/>
          <w:sz w:val="22"/>
          <w:szCs w:val="22"/>
        </w:rPr>
        <w:t xml:space="preserve">Cooper, R., Fox, J., &amp; Waldron, M. (2022). Wealth taxes and the post-COVID future of the state. Critical Perspectives on Accounting, 102431. https://doi.org/10.1016/j.cpa.2022.102431</w:t>
      </w:r>
    </w:p>
    <w:p>
      <w:pPr>
        <w:spacing w:after="120" w:before="0" w:line="320" w:lineRule="auto"/>
        <w:ind w:left="720" w:hanging="720"/>
      </w:pPr>
      <w:r>
        <w:rPr>
          <w:rFonts w:ascii="Garamond" w:cs="Garamond" w:eastAsia="Garamond" w:hAnsi="Garamond"/>
          <w:color w:val="222222"/>
          <w:sz w:val="22"/>
          <w:szCs w:val="22"/>
        </w:rPr>
        <w:t xml:space="preserve">Cornell, B. (2020). ESG investing: Conceptual issues. SSRN Working Paper. https://doi.org/10.2139/ssrn.3621163</w:t>
      </w:r>
    </w:p>
    <w:p>
      <w:pPr>
        <w:spacing w:after="120" w:before="0" w:line="320" w:lineRule="auto"/>
        <w:ind w:left="720" w:hanging="720"/>
      </w:pPr>
      <w:r>
        <w:rPr>
          <w:rFonts w:ascii="Garamond" w:cs="Garamond" w:eastAsia="Garamond" w:hAnsi="Garamond"/>
          <w:color w:val="222222"/>
          <w:sz w:val="22"/>
          <w:szCs w:val="22"/>
        </w:rPr>
        <w:t xml:space="preserve">Davitaia, E. (2025). Intelligent finance: The evolution and impact of AI-driven advisory services. International Research Journal, 7(6), 134–136. https://doi.org/10.35629/5252-0706134136</w:t>
      </w:r>
    </w:p>
    <w:p>
      <w:pPr>
        <w:spacing w:after="120" w:before="0" w:line="320" w:lineRule="auto"/>
        <w:ind w:left="720" w:hanging="720"/>
      </w:pPr>
      <w:r>
        <w:rPr>
          <w:rFonts w:ascii="Garamond" w:cs="Garamond" w:eastAsia="Garamond" w:hAnsi="Garamond"/>
          <w:color w:val="222222"/>
          <w:sz w:val="22"/>
          <w:szCs w:val="22"/>
        </w:rPr>
        <w:t xml:space="preserve">de Groot, S., Gedajlovic, E., &amp; Carney, M. (2022). Enhancing enterprise family social capital through family governance. Family Business Review. https://doi.org/10.1177/08944865221105334</w:t>
      </w:r>
    </w:p>
    <w:p>
      <w:pPr>
        <w:spacing w:after="120" w:before="0" w:line="320" w:lineRule="auto"/>
        <w:ind w:left="720" w:hanging="720"/>
      </w:pPr>
      <w:r>
        <w:rPr>
          <w:rFonts w:ascii="Garamond" w:cs="Garamond" w:eastAsia="Garamond" w:hAnsi="Garamond"/>
          <w:color w:val="222222"/>
          <w:sz w:val="22"/>
          <w:szCs w:val="22"/>
        </w:rPr>
        <w:t xml:space="preserve">Dixon, A. D., &amp; Clark, G. L. (2023). Legitimacy and the extraordinary growth of ESG measures. Environment and Planning A: Economy and Space. https://doi.org/10.1177/0308518X231194065</w:t>
      </w:r>
    </w:p>
    <w:p>
      <w:pPr>
        <w:spacing w:after="120" w:before="0" w:line="320" w:lineRule="auto"/>
        <w:ind w:left="720" w:hanging="720"/>
      </w:pPr>
      <w:r>
        <w:rPr>
          <w:rFonts w:ascii="Garamond" w:cs="Garamond" w:eastAsia="Garamond" w:hAnsi="Garamond"/>
          <w:color w:val="222222"/>
          <w:sz w:val="22"/>
          <w:szCs w:val="22"/>
        </w:rPr>
        <w:t xml:space="preserve">Dvir-Djerassi, A., &amp; Pfeffer, F. T. (2022). The U.S. wealth distribution: Off the charts. Socius, 8. https://doi.org/10.1177/23780231221143957</w:t>
      </w:r>
    </w:p>
    <w:p>
      <w:pPr>
        <w:spacing w:after="120" w:before="0" w:line="320" w:lineRule="auto"/>
        <w:ind w:left="720" w:hanging="720"/>
      </w:pPr>
      <w:r>
        <w:rPr>
          <w:rFonts w:ascii="Garamond" w:cs="Garamond" w:eastAsia="Garamond" w:hAnsi="Garamond"/>
          <w:color w:val="222222"/>
          <w:sz w:val="22"/>
          <w:szCs w:val="22"/>
        </w:rPr>
        <w:t xml:space="preserve">Ebekozien, A., Aigbavboa, C., &amp; Samsurijan, M. S. (2023). The adoption of robo-advisory among millennials. Sustainability, 15(7), 6016. https://doi.org/10.3390/su15076016</w:t>
      </w:r>
    </w:p>
    <w:p>
      <w:pPr>
        <w:spacing w:after="120" w:before="0" w:line="320" w:lineRule="auto"/>
        <w:ind w:left="720" w:hanging="720"/>
      </w:pPr>
      <w:r>
        <w:rPr>
          <w:rFonts w:ascii="Garamond" w:cs="Garamond" w:eastAsia="Garamond" w:hAnsi="Garamond"/>
          <w:color w:val="222222"/>
          <w:sz w:val="22"/>
          <w:szCs w:val="22"/>
        </w:rPr>
        <w:t xml:space="preserve">Eichler, S., &amp; Schwab, M. (2024). Evaluating robo-advisors through the lens of behavioral finance. Frontiers in Behavioral Economics, 3, 1489159. https://doi.org/10.3389/frbhe.2024.1489159</w:t>
      </w:r>
    </w:p>
    <w:p>
      <w:pPr>
        <w:spacing w:after="120" w:before="0" w:line="320" w:lineRule="auto"/>
        <w:ind w:left="720" w:hanging="720"/>
      </w:pPr>
      <w:r>
        <w:rPr>
          <w:rFonts w:ascii="Garamond" w:cs="Garamond" w:eastAsia="Garamond" w:hAnsi="Garamond"/>
          <w:color w:val="222222"/>
          <w:sz w:val="22"/>
          <w:szCs w:val="22"/>
        </w:rPr>
        <w:t xml:space="preserve">Ensor, J., Cottam, E., &amp; Band, S. (2020). Independent financial adviser (IFA)-based brand equity pyramid. Journal of Financial Services Marketing, 25(3), 1–14. https://doi.org/10.1057/s41264-020-00073-x</w:t>
      </w:r>
    </w:p>
    <w:p>
      <w:pPr>
        <w:spacing w:after="120" w:before="0" w:line="320" w:lineRule="auto"/>
        <w:ind w:left="720" w:hanging="720"/>
      </w:pPr>
      <w:r>
        <w:rPr>
          <w:rFonts w:ascii="Garamond" w:cs="Garamond" w:eastAsia="Garamond" w:hAnsi="Garamond"/>
          <w:color w:val="222222"/>
          <w:sz w:val="22"/>
          <w:szCs w:val="22"/>
        </w:rPr>
        <w:t xml:space="preserve">Fraser, S., Payne, B. C., &amp; Schatzle, T. Finding the value of financial advice. SSRN Working Paper. https://doi.org/10.2139/ssrn.3699699</w:t>
      </w:r>
    </w:p>
    <w:p>
      <w:pPr>
        <w:spacing w:after="120" w:before="0" w:line="320" w:lineRule="auto"/>
        <w:ind w:left="720" w:hanging="720"/>
      </w:pPr>
      <w:r>
        <w:rPr>
          <w:rFonts w:ascii="Garamond" w:cs="Garamond" w:eastAsia="Garamond" w:hAnsi="Garamond"/>
          <w:color w:val="222222"/>
          <w:sz w:val="22"/>
          <w:szCs w:val="22"/>
        </w:rPr>
        <w:t xml:space="preserve">Gao, X., Kahraman, B., &amp; Li, K. (2025). Financial illiteracy as a systemic risk. Journal of Portfolio Management, 51(3). https://doi.org/10.3905/jpm.2025.1.702</w:t>
      </w:r>
    </w:p>
    <w:p>
      <w:pPr>
        <w:spacing w:after="120" w:before="0" w:line="320" w:lineRule="auto"/>
        <w:ind w:left="720" w:hanging="720"/>
      </w:pPr>
      <w:r>
        <w:rPr>
          <w:rFonts w:ascii="Garamond" w:cs="Garamond" w:eastAsia="Garamond" w:hAnsi="Garamond"/>
          <w:color w:val="222222"/>
          <w:sz w:val="22"/>
          <w:szCs w:val="22"/>
        </w:rPr>
        <w:t xml:space="preserve">George, B., &amp; Coffi, E. (2022). The fintech revolution and the changing role of financial advisors. Journal of Applied Theoretical Social Sciences, 2022(66). https://doi.org/10.37241/jatss.2022.66</w:t>
      </w:r>
    </w:p>
    <w:p>
      <w:pPr>
        <w:spacing w:after="120" w:before="0" w:line="320" w:lineRule="auto"/>
        <w:ind w:left="720" w:hanging="720"/>
      </w:pPr>
      <w:r>
        <w:rPr>
          <w:rFonts w:ascii="Garamond" w:cs="Garamond" w:eastAsia="Garamond" w:hAnsi="Garamond"/>
          <w:color w:val="222222"/>
          <w:sz w:val="22"/>
          <w:szCs w:val="22"/>
        </w:rPr>
        <w:t xml:space="preserve">Gibson-Davis, C., Hill, Z., &amp; Lee, K. (2023). Beyond parental wealth: Grandparental wealth and the transition to adulthood. Research in Social Stratification and Mobility, 86, 100878. https://doi.org/10.1016/j.rssm.2023.100878</w:t>
      </w:r>
    </w:p>
    <w:p>
      <w:pPr>
        <w:spacing w:after="120" w:before="0" w:line="320" w:lineRule="auto"/>
        <w:ind w:left="720" w:hanging="720"/>
      </w:pPr>
      <w:r>
        <w:rPr>
          <w:rFonts w:ascii="Garamond" w:cs="Garamond" w:eastAsia="Garamond" w:hAnsi="Garamond"/>
          <w:color w:val="222222"/>
          <w:sz w:val="22"/>
          <w:szCs w:val="22"/>
        </w:rPr>
        <w:t xml:space="preserve">Ginovsky, J. (2014). Wealth management for the many. ABA Banking Journal. https://doi.org/10.57894/167169544</w:t>
      </w:r>
    </w:p>
    <w:p>
      <w:pPr>
        <w:spacing w:after="120" w:before="0" w:line="320" w:lineRule="auto"/>
        <w:ind w:left="720" w:hanging="720"/>
      </w:pPr>
      <w:r>
        <w:rPr>
          <w:rFonts w:ascii="Garamond" w:cs="Garamond" w:eastAsia="Garamond" w:hAnsi="Garamond"/>
          <w:color w:val="222222"/>
          <w:sz w:val="22"/>
          <w:szCs w:val="22"/>
        </w:rPr>
        <w:t xml:space="preserve">Gufler, H., Maurer, R., &amp; Rogalla, R. (2022). Global risks, the macroeconomy, and asset prices. Empirical Economics, 63, 1–29. https://doi.org/10.1007/s00181-022-02205-9</w:t>
      </w:r>
    </w:p>
    <w:p>
      <w:pPr>
        <w:spacing w:after="120" w:before="0" w:line="320" w:lineRule="auto"/>
        <w:ind w:left="720" w:hanging="720"/>
      </w:pPr>
      <w:r>
        <w:rPr>
          <w:rFonts w:ascii="Garamond" w:cs="Garamond" w:eastAsia="Garamond" w:hAnsi="Garamond"/>
          <w:color w:val="222222"/>
          <w:sz w:val="22"/>
          <w:szCs w:val="22"/>
        </w:rPr>
        <w:t xml:space="preserve">Hawaldar, I. T., Rajesha, T. M., &amp; Sarea, A. M. (2023). Impact of geo-political risk on stocks, oil, and gold returns. Cogent Economics &amp; Finance, 11(1), 2190213. https://doi.org/10.1080/23322039.2023.2190213</w:t>
      </w:r>
    </w:p>
    <w:p>
      <w:pPr>
        <w:spacing w:after="120" w:before="0" w:line="320" w:lineRule="auto"/>
        <w:ind w:left="720" w:hanging="720"/>
      </w:pPr>
      <w:r>
        <w:rPr>
          <w:rFonts w:ascii="Garamond" w:cs="Garamond" w:eastAsia="Garamond" w:hAnsi="Garamond"/>
          <w:color w:val="222222"/>
          <w:sz w:val="22"/>
          <w:szCs w:val="22"/>
        </w:rPr>
        <w:t xml:space="preserve">Hoang, V. T., Nguyen, T. T., &amp; Nguyen, T. V. (2022). Linking psychological needs, perceived financial well-being and loyalty. Journal of Financial Services Marketing, 27(2), 1–16. https://doi.org/10.1057/s41264-022-00170-z</w:t>
      </w:r>
    </w:p>
    <w:p>
      <w:pPr>
        <w:spacing w:after="120" w:before="0" w:line="320" w:lineRule="auto"/>
        <w:ind w:left="720" w:hanging="720"/>
      </w:pPr>
      <w:r>
        <w:rPr>
          <w:rFonts w:ascii="Garamond" w:cs="Garamond" w:eastAsia="Garamond" w:hAnsi="Garamond"/>
          <w:color w:val="222222"/>
          <w:sz w:val="22"/>
          <w:szCs w:val="22"/>
        </w:rPr>
        <w:t xml:space="preserve">Jackson, P. Wealth management and legal structuring in estate planning. SSRN Working Paper. https://doi.org/10.2139/ssrn.5049924</w:t>
      </w:r>
    </w:p>
    <w:p>
      <w:pPr>
        <w:spacing w:after="120" w:before="0" w:line="320" w:lineRule="auto"/>
        <w:ind w:left="720" w:hanging="720"/>
      </w:pPr>
      <w:r>
        <w:rPr>
          <w:rFonts w:ascii="Garamond" w:cs="Garamond" w:eastAsia="Garamond" w:hAnsi="Garamond"/>
          <w:color w:val="222222"/>
          <w:sz w:val="22"/>
          <w:szCs w:val="22"/>
        </w:rPr>
        <w:t xml:space="preserve">Jaquiery, M., &amp; Yeung, S. (2024). Preferences for advisor agreement and accuracy. PLOS ONE, 19(11), e0311211. https://doi.org/10.1371/journal.pone.0311211</w:t>
      </w:r>
    </w:p>
    <w:p>
      <w:pPr>
        <w:spacing w:after="120" w:before="0" w:line="320" w:lineRule="auto"/>
        <w:ind w:left="720" w:hanging="720"/>
      </w:pPr>
      <w:r>
        <w:rPr>
          <w:rFonts w:ascii="Garamond" w:cs="Garamond" w:eastAsia="Garamond" w:hAnsi="Garamond"/>
          <w:color w:val="222222"/>
          <w:sz w:val="22"/>
          <w:szCs w:val="22"/>
        </w:rPr>
        <w:t xml:space="preserve">Judijanto, L. (2025). Robo-advisors in wealth management: A bibliometric study. E-Structural Accounting and Financial, 3(2). https://doi.org/10.58812/esaf.v3i02.501</w:t>
      </w:r>
    </w:p>
    <w:p>
      <w:pPr>
        <w:spacing w:after="120" w:before="0" w:line="320" w:lineRule="auto"/>
        <w:ind w:left="720" w:hanging="720"/>
      </w:pPr>
      <w:r>
        <w:rPr>
          <w:rFonts w:ascii="Garamond" w:cs="Garamond" w:eastAsia="Garamond" w:hAnsi="Garamond"/>
          <w:color w:val="222222"/>
          <w:sz w:val="22"/>
          <w:szCs w:val="22"/>
        </w:rPr>
        <w:t xml:space="preserve">Killewald, A., &amp; Pfeffer, F. T. (2018). Generations of advantage: Multigenerational correlations in family wealth. Social Forces, 96(4), 1411–1442. https://doi.org/10.1093/sf/sox086</w:t>
      </w:r>
    </w:p>
    <w:p>
      <w:pPr>
        <w:spacing w:after="120" w:before="0" w:line="320" w:lineRule="auto"/>
        <w:ind w:left="720" w:hanging="720"/>
      </w:pPr>
      <w:r>
        <w:rPr>
          <w:rFonts w:ascii="Garamond" w:cs="Garamond" w:eastAsia="Garamond" w:hAnsi="Garamond"/>
          <w:color w:val="222222"/>
          <w:sz w:val="22"/>
          <w:szCs w:val="22"/>
        </w:rPr>
        <w:t xml:space="preserve">Killewald, A., Pfeffer, F. T., &amp; Schachner, J. N. (2017). Wealth inequality and accumulation. Annual Review of Sociology, 43, 379–404. https://doi.org/10.1146/annurev-soc-060116-053331</w:t>
      </w:r>
    </w:p>
    <w:p>
      <w:pPr>
        <w:spacing w:after="120" w:before="0" w:line="320" w:lineRule="auto"/>
        <w:ind w:left="720" w:hanging="720"/>
      </w:pPr>
      <w:r>
        <w:rPr>
          <w:rFonts w:ascii="Garamond" w:cs="Garamond" w:eastAsia="Garamond" w:hAnsi="Garamond"/>
          <w:color w:val="222222"/>
          <w:sz w:val="22"/>
          <w:szCs w:val="22"/>
        </w:rPr>
        <w:t xml:space="preserve">Kluge, F. A., Lee, R. D., &amp; Vogt, T. C. (2020). Intergenerational resource sharing and mortality in a global perspective. Proceedings of the National Academy of Sciences, 117(22), 12049–12055. https://doi.org/10.1073/pnas.1920978117</w:t>
      </w:r>
    </w:p>
    <w:p>
      <w:pPr>
        <w:spacing w:after="120" w:before="0" w:line="320" w:lineRule="auto"/>
        <w:ind w:left="720" w:hanging="720"/>
      </w:pPr>
      <w:r>
        <w:rPr>
          <w:rFonts w:ascii="Garamond" w:cs="Garamond" w:eastAsia="Garamond" w:hAnsi="Garamond"/>
          <w:color w:val="222222"/>
          <w:sz w:val="22"/>
          <w:szCs w:val="22"/>
        </w:rPr>
        <w:t xml:space="preserve">Kolomazník, J., Boháčková, I., &amp; Kopřiva, J. (2019). Millennials' awareness and approach to social responsibility and sustainability. Sustainability, 11(2), 504. https://doi.org/10.3390/SU11020504</w:t>
      </w:r>
    </w:p>
    <w:p>
      <w:pPr>
        <w:spacing w:after="120" w:before="0" w:line="320" w:lineRule="auto"/>
        <w:ind w:left="720" w:hanging="720"/>
      </w:pPr>
      <w:r>
        <w:rPr>
          <w:rFonts w:ascii="Garamond" w:cs="Garamond" w:eastAsia="Garamond" w:hAnsi="Garamond"/>
          <w:color w:val="222222"/>
          <w:sz w:val="22"/>
          <w:szCs w:val="22"/>
        </w:rPr>
        <w:t xml:space="preserve">Konstantinou, P., &amp; Jones, C. (2022). Investigating Gen Z attitudes to charitable giving. Nonprofit and Voluntary Sector Quarterly. https://doi.org/10.1002/nvsm.1764</w:t>
      </w:r>
    </w:p>
    <w:p>
      <w:pPr>
        <w:spacing w:after="120" w:before="0" w:line="320" w:lineRule="auto"/>
        <w:ind w:left="720" w:hanging="720"/>
      </w:pPr>
      <w:r>
        <w:rPr>
          <w:rFonts w:ascii="Garamond" w:cs="Garamond" w:eastAsia="Garamond" w:hAnsi="Garamond"/>
          <w:color w:val="222222"/>
          <w:sz w:val="22"/>
          <w:szCs w:val="22"/>
        </w:rPr>
        <w:t xml:space="preserve">Langley, P. (2026). The great wealth transfer: A great missed opportunity? Journal of Consumer Culture. https://doi.org/10.1177/10524770261421767</w:t>
      </w:r>
    </w:p>
    <w:p>
      <w:pPr>
        <w:spacing w:after="120" w:before="0" w:line="320" w:lineRule="auto"/>
        <w:ind w:left="720" w:hanging="720"/>
      </w:pPr>
      <w:r>
        <w:rPr>
          <w:rFonts w:ascii="Garamond" w:cs="Garamond" w:eastAsia="Garamond" w:hAnsi="Garamond"/>
          <w:color w:val="222222"/>
          <w:sz w:val="22"/>
          <w:szCs w:val="22"/>
        </w:rPr>
        <w:t xml:space="preserve">Latif, A., Sarwar, M., &amp; Ahmed, R. (2025). Building the 'golden generation.' Journal of Educational Development, 7(1). https://doi.org/10.20414/jed.v7i1.12662</w:t>
      </w:r>
    </w:p>
    <w:p>
      <w:pPr>
        <w:spacing w:after="120" w:before="0" w:line="320" w:lineRule="auto"/>
        <w:ind w:left="720" w:hanging="720"/>
      </w:pPr>
      <w:r>
        <w:rPr>
          <w:rFonts w:ascii="Garamond" w:cs="Garamond" w:eastAsia="Garamond" w:hAnsi="Garamond"/>
          <w:color w:val="222222"/>
          <w:sz w:val="22"/>
          <w:szCs w:val="22"/>
        </w:rPr>
        <w:t xml:space="preserve">Lee, R. D. (2013). Intergenerational transfers, the biological life cycle, and human society. Population and Development Review, 39(1), 10–23. https://doi.org/10.1111/J.1728-4457.2013.00549.X</w:t>
      </w:r>
    </w:p>
    <w:p>
      <w:pPr>
        <w:spacing w:after="120" w:before="0" w:line="320" w:lineRule="auto"/>
        <w:ind w:left="720" w:hanging="720"/>
      </w:pPr>
      <w:r>
        <w:rPr>
          <w:rFonts w:ascii="Garamond" w:cs="Garamond" w:eastAsia="Garamond" w:hAnsi="Garamond"/>
          <w:color w:val="222222"/>
          <w:sz w:val="22"/>
          <w:szCs w:val="22"/>
        </w:rPr>
        <w:t xml:space="preserve">Levine, L. (2023). Investment AUM fee costs: Evaluating a simple formula. arXiv preprint. https://doi.org/10.48550/arXiv.2107.00837</w:t>
      </w:r>
    </w:p>
    <w:p>
      <w:pPr>
        <w:spacing w:after="120" w:before="0" w:line="320" w:lineRule="auto"/>
        <w:ind w:left="720" w:hanging="720"/>
      </w:pPr>
      <w:r>
        <w:rPr>
          <w:rFonts w:ascii="Garamond" w:cs="Garamond" w:eastAsia="Garamond" w:hAnsi="Garamond"/>
          <w:color w:val="222222"/>
          <w:sz w:val="22"/>
          <w:szCs w:val="22"/>
        </w:rPr>
        <w:t xml:space="preserve">Li, H. (2025). Family business governance evolution during intergenerational succession. Strategic Research on Healthcare, 2025. https://doi.org/10.61173/srh09064</w:t>
      </w:r>
    </w:p>
    <w:p>
      <w:pPr>
        <w:spacing w:after="120" w:before="0" w:line="320" w:lineRule="auto"/>
        <w:ind w:left="720" w:hanging="720"/>
      </w:pPr>
      <w:r>
        <w:rPr>
          <w:rFonts w:ascii="Garamond" w:cs="Garamond" w:eastAsia="Garamond" w:hAnsi="Garamond"/>
          <w:color w:val="222222"/>
          <w:sz w:val="22"/>
          <w:szCs w:val="22"/>
        </w:rPr>
        <w:t xml:space="preserve">Limberg, J., Seelkopf, L., &amp; Genschel, P. (2023). Revenue, redistribution, and the rise and fall of inheritance taxation. Comparative Political Studies, 56(14). https://doi.org/10.1177/00104140231194065</w:t>
      </w:r>
    </w:p>
    <w:p>
      <w:pPr>
        <w:spacing w:after="120" w:before="0" w:line="320" w:lineRule="auto"/>
        <w:ind w:left="720" w:hanging="720"/>
      </w:pPr>
      <w:r>
        <w:rPr>
          <w:rFonts w:ascii="Garamond" w:cs="Garamond" w:eastAsia="Garamond" w:hAnsi="Garamond"/>
          <w:color w:val="222222"/>
          <w:sz w:val="22"/>
          <w:szCs w:val="22"/>
        </w:rPr>
        <w:t xml:space="preserve">Lindley, A. (2026). What factors could upend the great wealth transfer? Global Economics Review. https://doi.org/10.1002/mgr.32808</w:t>
      </w:r>
    </w:p>
    <w:p>
      <w:pPr>
        <w:spacing w:after="120" w:before="0" w:line="320" w:lineRule="auto"/>
        <w:ind w:left="720" w:hanging="720"/>
      </w:pPr>
      <w:r>
        <w:rPr>
          <w:rFonts w:ascii="Garamond" w:cs="Garamond" w:eastAsia="Garamond" w:hAnsi="Garamond"/>
          <w:color w:val="222222"/>
          <w:sz w:val="22"/>
          <w:szCs w:val="22"/>
        </w:rPr>
        <w:t xml:space="preserve">Liu, S. (2026). The augmented advisor model in wealth management. Journal of Modern Finance. https://doi.org/10.54097/6aw0jq57</w:t>
      </w:r>
    </w:p>
    <w:p>
      <w:pPr>
        <w:spacing w:after="120" w:before="0" w:line="320" w:lineRule="auto"/>
        <w:ind w:left="720" w:hanging="720"/>
      </w:pPr>
      <w:r>
        <w:rPr>
          <w:rFonts w:ascii="Garamond" w:cs="Garamond" w:eastAsia="Garamond" w:hAnsi="Garamond"/>
          <w:color w:val="222222"/>
          <w:sz w:val="22"/>
          <w:szCs w:val="22"/>
        </w:rPr>
        <w:t xml:space="preserve">Liu, X., Jia, H., &amp; Zhang, L. (2024). Study on the impact of property tax and estate tax on HNWI asset allocation. International Journal of Economic Studies. https://doi.org/10.70267/00qeh544</w:t>
      </w:r>
    </w:p>
    <w:p>
      <w:pPr>
        <w:spacing w:after="120" w:before="0" w:line="320" w:lineRule="auto"/>
        <w:ind w:left="720" w:hanging="720"/>
      </w:pPr>
      <w:r>
        <w:rPr>
          <w:rFonts w:ascii="Garamond" w:cs="Garamond" w:eastAsia="Garamond" w:hAnsi="Garamond"/>
          <w:color w:val="222222"/>
          <w:sz w:val="22"/>
          <w:szCs w:val="22"/>
        </w:rPr>
        <w:t xml:space="preserve">Mackinger, B., Mühlberger, C., &amp; Jonas, E. (2017). When advisors' true intentions are in question: The role of financial and psychological interests. Frontiers in Psychology, 8, 1112. https://doi.org/10.3389/fpsyg.2017.01112</w:t>
      </w:r>
    </w:p>
    <w:p>
      <w:pPr>
        <w:spacing w:after="120" w:before="0" w:line="320" w:lineRule="auto"/>
        <w:ind w:left="720" w:hanging="720"/>
      </w:pPr>
      <w:r>
        <w:rPr>
          <w:rFonts w:ascii="Garamond" w:cs="Garamond" w:eastAsia="Garamond" w:hAnsi="Garamond"/>
          <w:color w:val="222222"/>
          <w:sz w:val="22"/>
          <w:szCs w:val="22"/>
        </w:rPr>
        <w:t xml:space="preserve">Maple, C., Sheridan, J., &amp; Sheridan, M. (2023). The AI revolution: Opportunities and challenges for the finance sector. arXiv preprint. https://doi.org/10.48550/arXiv.2308.16538</w:t>
      </w:r>
    </w:p>
    <w:p>
      <w:pPr>
        <w:spacing w:after="120" w:before="0" w:line="320" w:lineRule="auto"/>
        <w:ind w:left="720" w:hanging="720"/>
      </w:pPr>
      <w:r>
        <w:rPr>
          <w:rFonts w:ascii="Garamond" w:cs="Garamond" w:eastAsia="Garamond" w:hAnsi="Garamond"/>
          <w:color w:val="222222"/>
          <w:sz w:val="22"/>
          <w:szCs w:val="22"/>
        </w:rPr>
        <w:t xml:space="preserve">Marques, P., Presas, P., &amp; Simon, A. (2023). The socioemotional wealth of leaders in family firm succession. International Journal of Entrepreneurial Behavior &amp; Research, 29(3). https://doi.org/10.1108/ijebr-01-2022-0092</w:t>
      </w:r>
    </w:p>
    <w:p>
      <w:pPr>
        <w:spacing w:after="120" w:before="0" w:line="320" w:lineRule="auto"/>
        <w:ind w:left="720" w:hanging="720"/>
      </w:pPr>
      <w:r>
        <w:rPr>
          <w:rFonts w:ascii="Garamond" w:cs="Garamond" w:eastAsia="Garamond" w:hAnsi="Garamond"/>
          <w:color w:val="222222"/>
          <w:sz w:val="22"/>
          <w:szCs w:val="22"/>
        </w:rPr>
        <w:t xml:space="preserve">Martino, G., &amp; Ventre, V. (2023). An analytic network process for financial decision-making in behavioral finance. Mathematics, 11(18), 3994. https://doi.org/10.3390/math11183994</w:t>
      </w:r>
    </w:p>
    <w:p>
      <w:pPr>
        <w:spacing w:after="120" w:before="0" w:line="320" w:lineRule="auto"/>
        <w:ind w:left="720" w:hanging="720"/>
      </w:pPr>
      <w:r>
        <w:rPr>
          <w:rFonts w:ascii="Garamond" w:cs="Garamond" w:eastAsia="Garamond" w:hAnsi="Garamond"/>
          <w:color w:val="222222"/>
          <w:sz w:val="22"/>
          <w:szCs w:val="22"/>
        </w:rPr>
        <w:t xml:space="preserve">Maurya, P. (2025). Integrating ESG criteria in sustainable wealth management. International Scientific Journal of Engineering and Management, 2(7). https://doi.org/10.55041/isjem02700</w:t>
      </w:r>
    </w:p>
    <w:p>
      <w:pPr>
        <w:spacing w:after="120" w:before="0" w:line="320" w:lineRule="auto"/>
        <w:ind w:left="720" w:hanging="720"/>
      </w:pPr>
      <w:r>
        <w:rPr>
          <w:rFonts w:ascii="Garamond" w:cs="Garamond" w:eastAsia="Garamond" w:hAnsi="Garamond"/>
          <w:color w:val="222222"/>
          <w:sz w:val="22"/>
          <w:szCs w:val="22"/>
        </w:rPr>
        <w:t xml:space="preserve">Meyer, L. (2024). Estate planning: Stepped-up tax basis. University of Nebraska Extension Publications. https://doi.org/10.32873/unl.dc.cap043</w:t>
      </w:r>
    </w:p>
    <w:p>
      <w:pPr>
        <w:spacing w:after="120" w:before="0" w:line="320" w:lineRule="auto"/>
        <w:ind w:left="720" w:hanging="720"/>
      </w:pPr>
      <w:r>
        <w:rPr>
          <w:rFonts w:ascii="Garamond" w:cs="Garamond" w:eastAsia="Garamond" w:hAnsi="Garamond"/>
          <w:color w:val="222222"/>
          <w:sz w:val="22"/>
          <w:szCs w:val="22"/>
        </w:rPr>
        <w:t xml:space="preserve">Miller, D., &amp; Maine, K. (2020). Wealth transfer tax planning after the Tax Cuts and Jobs Act. Morningstar Foundation Working Paper. https://doi.org/10.57894/216168226</w:t>
      </w:r>
    </w:p>
    <w:p>
      <w:pPr>
        <w:spacing w:after="120" w:before="0" w:line="320" w:lineRule="auto"/>
        <w:ind w:left="720" w:hanging="720"/>
      </w:pPr>
      <w:r>
        <w:rPr>
          <w:rFonts w:ascii="Garamond" w:cs="Garamond" w:eastAsia="Garamond" w:hAnsi="Garamond"/>
          <w:color w:val="222222"/>
          <w:sz w:val="22"/>
          <w:szCs w:val="22"/>
        </w:rPr>
        <w:t xml:space="preserve">Moor, L., &amp; Friedman, S. (2021). Justifying inherited wealth: Between 'the bank of mum and dad' and the meritocracy. Economy and Society, 50(4), 618–642. https://doi.org/10.1080/03085147.2021.1932353</w:t>
      </w:r>
    </w:p>
    <w:p>
      <w:pPr>
        <w:spacing w:after="120" w:before="0" w:line="320" w:lineRule="auto"/>
        <w:ind w:left="720" w:hanging="720"/>
      </w:pPr>
      <w:r>
        <w:rPr>
          <w:rFonts w:ascii="Garamond" w:cs="Garamond" w:eastAsia="Garamond" w:hAnsi="Garamond"/>
          <w:color w:val="222222"/>
          <w:sz w:val="22"/>
          <w:szCs w:val="22"/>
        </w:rPr>
        <w:t xml:space="preserve">Naanwaab, C., &amp; Antwi, S. (2022). Generational differences, risk tolerance, and ownership of financial securities. International Journal of Financial Studies, 10(2), 35. https://doi.org/10.3390/ijfs10020035</w:t>
      </w:r>
    </w:p>
    <w:p>
      <w:pPr>
        <w:spacing w:after="120" w:before="0" w:line="320" w:lineRule="auto"/>
        <w:ind w:left="720" w:hanging="720"/>
      </w:pPr>
      <w:r>
        <w:rPr>
          <w:rFonts w:ascii="Garamond" w:cs="Garamond" w:eastAsia="Garamond" w:hAnsi="Garamond"/>
          <w:color w:val="222222"/>
          <w:sz w:val="22"/>
          <w:szCs w:val="22"/>
        </w:rPr>
        <w:t xml:space="preserve">Narayan, K. (2025). Intergenerational wealth transfer: Opportunities and challenges. World Review of Business and Accounting, 11(2). https://doi.org/10.56830/wrba11202510</w:t>
      </w:r>
    </w:p>
    <w:p>
      <w:pPr>
        <w:spacing w:after="120" w:before="0" w:line="320" w:lineRule="auto"/>
        <w:ind w:left="720" w:hanging="720"/>
      </w:pPr>
      <w:r>
        <w:rPr>
          <w:rFonts w:ascii="Garamond" w:cs="Garamond" w:eastAsia="Garamond" w:hAnsi="Garamond"/>
          <w:color w:val="222222"/>
          <w:sz w:val="22"/>
          <w:szCs w:val="22"/>
        </w:rPr>
        <w:t xml:space="preserve">Narayan, S. (2025). Intelligent automation vs. hyper-personalization for wealth clients. International Journal of Data Science and Machine Learning, 5(2), 10. https://doi.org/10.55640/ijdsml-05-02-10</w:t>
      </w:r>
    </w:p>
    <w:p>
      <w:pPr>
        <w:spacing w:after="120" w:before="0" w:line="320" w:lineRule="auto"/>
        <w:ind w:left="720" w:hanging="720"/>
      </w:pPr>
      <w:r>
        <w:rPr>
          <w:rFonts w:ascii="Garamond" w:cs="Garamond" w:eastAsia="Garamond" w:hAnsi="Garamond"/>
          <w:color w:val="222222"/>
          <w:sz w:val="22"/>
          <w:szCs w:val="22"/>
        </w:rPr>
        <w:t xml:space="preserve">Narmaditya, B. S., Wulandari, D., &amp; Sakarji, S. R. (2021). The millennial's investment decisions. Ekuitas: Jurnal Ekonomi dan Keuangan, 9(2). https://doi.org/10.23887/ekuitas.v9i2.39328</w:t>
      </w:r>
    </w:p>
    <w:p>
      <w:pPr>
        <w:spacing w:after="120" w:before="0" w:line="320" w:lineRule="auto"/>
        <w:ind w:left="720" w:hanging="720"/>
      </w:pPr>
      <w:r>
        <w:rPr>
          <w:rFonts w:ascii="Garamond" w:cs="Garamond" w:eastAsia="Garamond" w:hAnsi="Garamond"/>
          <w:color w:val="222222"/>
          <w:sz w:val="22"/>
          <w:szCs w:val="22"/>
        </w:rPr>
        <w:t xml:space="preserve">Nigam, R., Srivastava, A., &amp; Singh, P. (2025). The effect of digital wealth management platforms on millennials investment behaviour. Business Research Journal, 3(1). https://doi.org/10.65554/brj.v3i1.01</w:t>
      </w:r>
    </w:p>
    <w:p>
      <w:pPr>
        <w:spacing w:after="120" w:before="0" w:line="320" w:lineRule="auto"/>
        <w:ind w:left="720" w:hanging="720"/>
      </w:pPr>
      <w:r>
        <w:rPr>
          <w:rFonts w:ascii="Garamond" w:cs="Garamond" w:eastAsia="Garamond" w:hAnsi="Garamond"/>
          <w:color w:val="222222"/>
          <w:sz w:val="22"/>
          <w:szCs w:val="22"/>
        </w:rPr>
        <w:t xml:space="preserve">Nolan, B., Palomino, J. C., Van Kerm, P., &amp; Morelli, S. (2021). Inheritance, gifts and the accumulation of wealth for low-income households in four European countries. Journal of European Social Policy, 32(2). https://doi.org/10.1177/09589287211040419</w:t>
      </w:r>
    </w:p>
    <w:p>
      <w:pPr>
        <w:spacing w:after="120" w:before="0" w:line="320" w:lineRule="auto"/>
        <w:ind w:left="720" w:hanging="720"/>
      </w:pPr>
      <w:r>
        <w:rPr>
          <w:rFonts w:ascii="Garamond" w:cs="Garamond" w:eastAsia="Garamond" w:hAnsi="Garamond"/>
          <w:color w:val="222222"/>
          <w:sz w:val="22"/>
          <w:szCs w:val="22"/>
        </w:rPr>
        <w:t xml:space="preserve">Nolan, B., Palomino, J. C., Van Kerm, P., &amp; Morelli, S. (2022). Intergenerational wealth transfers in Great Britain: Their magnitude and role in wealth inequality. Fiscal Studies, 43(3), 207–223. https://doi.org/10.1111/1475-5890.12299</w:t>
      </w:r>
    </w:p>
    <w:p>
      <w:pPr>
        <w:spacing w:after="120" w:before="0" w:line="320" w:lineRule="auto"/>
        <w:ind w:left="720" w:hanging="720"/>
      </w:pPr>
      <w:r>
        <w:rPr>
          <w:rFonts w:ascii="Garamond" w:cs="Garamond" w:eastAsia="Garamond" w:hAnsi="Garamond"/>
          <w:color w:val="222222"/>
          <w:sz w:val="22"/>
          <w:szCs w:val="22"/>
        </w:rPr>
        <w:t xml:space="preserve">Nwoke, C. (2025). Bridging generational wealth gaps. Global Encyclopedia of New Generation Public and Private International Law, 6(4). https://doi.org/10.55248/gengpi.6.0425.14131</w:t>
      </w:r>
    </w:p>
    <w:p>
      <w:pPr>
        <w:spacing w:after="120" w:before="0" w:line="320" w:lineRule="auto"/>
        <w:ind w:left="720" w:hanging="720"/>
      </w:pPr>
      <w:r>
        <w:rPr>
          <w:rFonts w:ascii="Garamond" w:cs="Garamond" w:eastAsia="Garamond" w:hAnsi="Garamond"/>
          <w:color w:val="222222"/>
          <w:sz w:val="22"/>
          <w:szCs w:val="22"/>
        </w:rPr>
        <w:t xml:space="preserve">Ooi, W. G. (2025). AWAKEN regenerative intelligence — $115 trillion intergenerational wealth transfer. Journal of Biomedical Research and Science, 2(1). https://doi.org/10.37871/jbres2161</w:t>
      </w:r>
    </w:p>
    <w:p>
      <w:pPr>
        <w:spacing w:after="120" w:before="0" w:line="320" w:lineRule="auto"/>
        <w:ind w:left="720" w:hanging="720"/>
      </w:pPr>
      <w:r>
        <w:rPr>
          <w:rFonts w:ascii="Garamond" w:cs="Garamond" w:eastAsia="Garamond" w:hAnsi="Garamond"/>
          <w:color w:val="222222"/>
          <w:sz w:val="22"/>
          <w:szCs w:val="22"/>
        </w:rPr>
        <w:t xml:space="preserve">Pedersen, H. K., &amp; Bøyum, S. (2019). Inheritance and the family. Journal of Applied Philosophy, 36(2). https://doi.org/10.1111/japp.12389</w:t>
      </w:r>
    </w:p>
    <w:p>
      <w:pPr>
        <w:spacing w:after="120" w:before="0" w:line="320" w:lineRule="auto"/>
        <w:ind w:left="720" w:hanging="720"/>
      </w:pPr>
      <w:r>
        <w:rPr>
          <w:rFonts w:ascii="Garamond" w:cs="Garamond" w:eastAsia="Garamond" w:hAnsi="Garamond"/>
          <w:color w:val="222222"/>
          <w:sz w:val="22"/>
          <w:szCs w:val="22"/>
        </w:rPr>
        <w:t xml:space="preserve">Pierson, P., &amp; Le Galès, P. (2019). 'Superstar cities' and the generation of durable inequality. Daedalus, 148(3), 46–72. https://doi.org/10.1162/daed_a_01750</w:t>
      </w:r>
    </w:p>
    <w:p>
      <w:pPr>
        <w:spacing w:after="120" w:before="0" w:line="320" w:lineRule="auto"/>
        <w:ind w:left="720" w:hanging="720"/>
      </w:pPr>
      <w:r>
        <w:rPr>
          <w:rFonts w:ascii="Garamond" w:cs="Garamond" w:eastAsia="Garamond" w:hAnsi="Garamond"/>
          <w:color w:val="222222"/>
          <w:sz w:val="22"/>
          <w:szCs w:val="22"/>
        </w:rPr>
        <w:t xml:space="preserve">Poddar, S., Meera, A. K. M., &amp; Mukherjee, D. (2024). Employing behavioural portfolio theory for sustainable investment. Investment Analysts Journal, 53(3). https://doi.org/10.1080/10293523.2024.2375818</w:t>
      </w:r>
    </w:p>
    <w:p>
      <w:pPr>
        <w:spacing w:after="120" w:before="0" w:line="320" w:lineRule="auto"/>
        <w:ind w:left="720" w:hanging="720"/>
      </w:pPr>
      <w:r>
        <w:rPr>
          <w:rFonts w:ascii="Garamond" w:cs="Garamond" w:eastAsia="Garamond" w:hAnsi="Garamond"/>
          <w:color w:val="222222"/>
          <w:sz w:val="22"/>
          <w:szCs w:val="22"/>
        </w:rPr>
        <w:t xml:space="preserve">Prabhakaran, T. Evaluating wealth management firms using grey relational analysis. Computer Science and Decision-Making, 2(1). https://doi.org/10.55124/csdb.v2i1.243</w:t>
      </w:r>
    </w:p>
    <w:p>
      <w:pPr>
        <w:spacing w:after="120" w:before="0" w:line="320" w:lineRule="auto"/>
        <w:ind w:left="720" w:hanging="720"/>
      </w:pPr>
      <w:r>
        <w:rPr>
          <w:rFonts w:ascii="Garamond" w:cs="Garamond" w:eastAsia="Garamond" w:hAnsi="Garamond"/>
          <w:color w:val="222222"/>
          <w:sz w:val="22"/>
          <w:szCs w:val="22"/>
        </w:rPr>
        <w:t xml:space="preserve">Rehman, Z. U., Ahmad, Z., &amp; Siddiqui, M. A. (2025). Behavioral finance and market inefficiencies. Journal of Open Innovation: Technology, Market, and Complexity. https://doi.org/10.63075/x6nbkg69</w:t>
      </w:r>
    </w:p>
    <w:p>
      <w:pPr>
        <w:spacing w:after="120" w:before="0" w:line="320" w:lineRule="auto"/>
        <w:ind w:left="720" w:hanging="720"/>
      </w:pPr>
      <w:r>
        <w:rPr>
          <w:rFonts w:ascii="Garamond" w:cs="Garamond" w:eastAsia="Garamond" w:hAnsi="Garamond"/>
          <w:color w:val="222222"/>
          <w:sz w:val="22"/>
          <w:szCs w:val="22"/>
        </w:rPr>
        <w:t xml:space="preserve">Richards, B. Getting clients, keeping clients. Morningstar Foundation Working Paper. https://doi.org/10.57894/166791047</w:t>
      </w:r>
    </w:p>
    <w:p>
      <w:pPr>
        <w:spacing w:after="120" w:before="0" w:line="320" w:lineRule="auto"/>
        <w:ind w:left="720" w:hanging="720"/>
      </w:pPr>
      <w:r>
        <w:rPr>
          <w:rFonts w:ascii="Garamond" w:cs="Garamond" w:eastAsia="Garamond" w:hAnsi="Garamond"/>
          <w:color w:val="222222"/>
          <w:sz w:val="22"/>
          <w:szCs w:val="22"/>
        </w:rPr>
        <w:t xml:space="preserve">Rico Pérez, M., Llorente-Alonso, M., &amp; García-Madariaga, J. (2024). The emerging field of robo advisor: A relational analysis. Heliyon, 10(16), e35946. https://doi.org/10.1016/j.heliyon.2024.e35946</w:t>
      </w:r>
    </w:p>
    <w:p>
      <w:pPr>
        <w:spacing w:after="120" w:before="0" w:line="320" w:lineRule="auto"/>
        <w:ind w:left="720" w:hanging="720"/>
      </w:pPr>
      <w:r>
        <w:rPr>
          <w:rFonts w:ascii="Garamond" w:cs="Garamond" w:eastAsia="Garamond" w:hAnsi="Garamond"/>
          <w:color w:val="222222"/>
          <w:sz w:val="22"/>
          <w:szCs w:val="22"/>
        </w:rPr>
        <w:t xml:space="preserve">Rithmaya, C. L., Santoso, B., &amp; Mardianti, R. (2023). Understanding Gen Z investment decisions. Jurnal Manajemen dan Kewirausahaan, 25(2), 105–119. https://doi.org/10.9744/jmk.25.2.105-119</w:t>
      </w:r>
    </w:p>
    <w:p>
      <w:pPr>
        <w:spacing w:after="120" w:before="0" w:line="320" w:lineRule="auto"/>
        <w:ind w:left="720" w:hanging="720"/>
      </w:pPr>
      <w:r>
        <w:rPr>
          <w:rFonts w:ascii="Garamond" w:cs="Garamond" w:eastAsia="Garamond" w:hAnsi="Garamond"/>
          <w:color w:val="222222"/>
          <w:sz w:val="22"/>
          <w:szCs w:val="22"/>
        </w:rPr>
        <w:t xml:space="preserve">Shen, X., Zhao, Y., &amp; Zhou, T. (2025). Artificial intelligence empowering robo-advisors. International Journal of Operations and Management for Service Research, 8(3), 01. https://doi.org/10.53469/ijomsr.2025.08(03).01</w:t>
      </w:r>
    </w:p>
    <w:p>
      <w:pPr>
        <w:spacing w:after="120" w:before="0" w:line="320" w:lineRule="auto"/>
        <w:ind w:left="720" w:hanging="720"/>
      </w:pPr>
      <w:r>
        <w:rPr>
          <w:rFonts w:ascii="Garamond" w:cs="Garamond" w:eastAsia="Garamond" w:hAnsi="Garamond"/>
          <w:color w:val="222222"/>
          <w:sz w:val="22"/>
          <w:szCs w:val="22"/>
        </w:rPr>
        <w:t xml:space="preserve">Siddiqui, A., &amp; Singh, R. (2026). Generational differences in investment choices. International Journal of Scientific Research in Engineering and Management, 58104. https://doi.org/10.55041/ijsrem58104</w:t>
      </w:r>
    </w:p>
    <w:p>
      <w:pPr>
        <w:spacing w:after="120" w:before="0" w:line="320" w:lineRule="auto"/>
        <w:ind w:left="720" w:hanging="720"/>
      </w:pPr>
      <w:r>
        <w:rPr>
          <w:rFonts w:ascii="Garamond" w:cs="Garamond" w:eastAsia="Garamond" w:hAnsi="Garamond"/>
          <w:color w:val="222222"/>
          <w:sz w:val="22"/>
          <w:szCs w:val="22"/>
        </w:rPr>
        <w:t xml:space="preserve">Sklair, L., &amp; Glucksberg, L. (2020). Philanthrocapitalism as wealth management strategy. Sociological Review, 69(2), 370–390. https://doi.org/10.1177/0038026120963479</w:t>
      </w:r>
    </w:p>
    <w:p>
      <w:pPr>
        <w:spacing w:after="120" w:before="0" w:line="320" w:lineRule="auto"/>
        <w:ind w:left="720" w:hanging="720"/>
      </w:pPr>
      <w:r>
        <w:rPr>
          <w:rFonts w:ascii="Garamond" w:cs="Garamond" w:eastAsia="Garamond" w:hAnsi="Garamond"/>
          <w:color w:val="222222"/>
          <w:sz w:val="22"/>
          <w:szCs w:val="22"/>
        </w:rPr>
        <w:t xml:space="preserve">Spiteri, J., &amp; von Brockdorff, P. (2022). Household wealth and inheritance transfers: Evidence from the Euro area. Journal of Family and Economic Issues, 43, 800–816. https://doi.org/10.1007/s10834-022-09861-0</w:t>
      </w:r>
    </w:p>
    <w:p>
      <w:pPr>
        <w:spacing w:after="120" w:before="0" w:line="320" w:lineRule="auto"/>
        <w:ind w:left="720" w:hanging="720"/>
      </w:pPr>
      <w:r>
        <w:rPr>
          <w:rFonts w:ascii="Garamond" w:cs="Garamond" w:eastAsia="Garamond" w:hAnsi="Garamond"/>
          <w:color w:val="222222"/>
          <w:sz w:val="22"/>
          <w:szCs w:val="22"/>
        </w:rPr>
        <w:t xml:space="preserve">Srivastava, A., Gupta, M., &amp; Bansal, R. (2025). Leaders in the digital age: A systematic review of robo-advisors. International Journal of Research and Scientific Innovation, 12(10). https://doi.org/10.51244/ijrsi.2025.1210000054</w:t>
      </w:r>
    </w:p>
    <w:p>
      <w:pPr>
        <w:spacing w:after="120" w:before="0" w:line="320" w:lineRule="auto"/>
        <w:ind w:left="720" w:hanging="720"/>
      </w:pPr>
      <w:r>
        <w:rPr>
          <w:rFonts w:ascii="Garamond" w:cs="Garamond" w:eastAsia="Garamond" w:hAnsi="Garamond"/>
          <w:color w:val="222222"/>
          <w:sz w:val="22"/>
          <w:szCs w:val="22"/>
        </w:rPr>
        <w:t xml:space="preserve">Stone, C. A., &amp; Zissu, A. (2025). Structured estate planning: A model for reducing taxable value. Journal of Wealth Management, 2025. https://doi.org/10.3905/jwm.2025.1.275</w:t>
      </w:r>
    </w:p>
    <w:p>
      <w:pPr>
        <w:spacing w:after="120" w:before="0" w:line="320" w:lineRule="auto"/>
        <w:ind w:left="720" w:hanging="720"/>
      </w:pPr>
      <w:r>
        <w:rPr>
          <w:rFonts w:ascii="Garamond" w:cs="Garamond" w:eastAsia="Garamond" w:hAnsi="Garamond"/>
          <w:color w:val="222222"/>
          <w:sz w:val="22"/>
          <w:szCs w:val="22"/>
        </w:rPr>
        <w:t xml:space="preserve">Takayanagi, H., Chen, Y., &amp; Saito, M. (2025). Are generative AI agents effective personalized financial advisors? arXiv preprint. https://doi.org/10.48550/arXiv.2504.05862</w:t>
      </w:r>
    </w:p>
    <w:p>
      <w:pPr>
        <w:spacing w:after="120" w:before="0" w:line="320" w:lineRule="auto"/>
        <w:ind w:left="720" w:hanging="720"/>
      </w:pPr>
      <w:r>
        <w:rPr>
          <w:rFonts w:ascii="Garamond" w:cs="Garamond" w:eastAsia="Garamond" w:hAnsi="Garamond"/>
          <w:color w:val="222222"/>
          <w:sz w:val="22"/>
          <w:szCs w:val="22"/>
        </w:rPr>
        <w:t xml:space="preserve">Tan, M. (2020). Robo-advisors and the financialization of lay investors. Geoforum, 117, 46–54. https://doi.org/10.1016/j.geoforum.2020.09.004</w:t>
      </w:r>
    </w:p>
    <w:p>
      <w:pPr>
        <w:spacing w:after="120" w:before="0" w:line="320" w:lineRule="auto"/>
        <w:ind w:left="720" w:hanging="720"/>
      </w:pPr>
      <w:r>
        <w:rPr>
          <w:rFonts w:ascii="Garamond" w:cs="Garamond" w:eastAsia="Garamond" w:hAnsi="Garamond"/>
          <w:color w:val="222222"/>
          <w:sz w:val="22"/>
          <w:szCs w:val="22"/>
        </w:rPr>
        <w:t xml:space="preserve">Taylor, J. (2024). Behavioral finance: Investor psychology and market outcomes. International Journal of Finance, 2113. https://doi.org/10.47941/ijf.2113</w:t>
      </w:r>
    </w:p>
    <w:p>
      <w:pPr>
        <w:spacing w:after="120" w:before="0" w:line="320" w:lineRule="auto"/>
        <w:ind w:left="720" w:hanging="720"/>
      </w:pPr>
      <w:r>
        <w:rPr>
          <w:rFonts w:ascii="Garamond" w:cs="Garamond" w:eastAsia="Garamond" w:hAnsi="Garamond"/>
          <w:color w:val="222222"/>
          <w:sz w:val="22"/>
          <w:szCs w:val="22"/>
        </w:rPr>
        <w:t xml:space="preserve">Turner, J. A., &amp; Giordano, G. (2020). AUM-based compensation and financial advice. Journal of Retirement, 7(4). https://doi.org/10.3905/JOR.2020.1.074</w:t>
      </w:r>
    </w:p>
    <w:p>
      <w:pPr>
        <w:spacing w:after="120" w:before="0" w:line="320" w:lineRule="auto"/>
        <w:ind w:left="720" w:hanging="720"/>
      </w:pPr>
      <w:r>
        <w:rPr>
          <w:rFonts w:ascii="Garamond" w:cs="Garamond" w:eastAsia="Garamond" w:hAnsi="Garamond"/>
          <w:color w:val="222222"/>
          <w:sz w:val="22"/>
          <w:szCs w:val="22"/>
        </w:rPr>
        <w:t xml:space="preserve">Waldenström, D., &amp; Henrekson, M. (2016). Inheritance taxation in Sweden, 1885–2004: The role of ideology, family firms, and tax avoidance. Economic History Review, 69(4), 1228–1254. https://doi.org/10.1111/ehr.12280</w:t>
      </w:r>
    </w:p>
    <w:p>
      <w:pPr>
        <w:spacing w:after="120" w:before="0" w:line="320" w:lineRule="auto"/>
        <w:ind w:left="720" w:hanging="720"/>
      </w:pPr>
      <w:r>
        <w:rPr>
          <w:rFonts w:ascii="Garamond" w:cs="Garamond" w:eastAsia="Garamond" w:hAnsi="Garamond"/>
          <w:color w:val="222222"/>
          <w:sz w:val="22"/>
          <w:szCs w:val="22"/>
        </w:rPr>
        <w:t xml:space="preserve">Wang, J. (2026). Study on the path to enhance financial demand for elderly care services from intergenerational wealth transfer. International Journal of Advanced Research. https://doi.org/10.54691/4fj6gs84</w:t>
      </w:r>
    </w:p>
    <w:p>
      <w:pPr>
        <w:spacing w:after="120" w:before="0" w:line="320" w:lineRule="auto"/>
        <w:ind w:left="720" w:hanging="720"/>
      </w:pPr>
      <w:r>
        <w:rPr>
          <w:rFonts w:ascii="Garamond" w:cs="Garamond" w:eastAsia="Garamond" w:hAnsi="Garamond"/>
          <w:color w:val="222222"/>
          <w:sz w:val="22"/>
          <w:szCs w:val="22"/>
        </w:rPr>
        <w:t xml:space="preserve">Wong, A., &amp; Ho, H. (2022). The role of customer personality in premium banking services. Journal of Financial Services Marketing, 27(3). https://doi.org/10.1057/s41264-022-00150-3</w:t>
      </w:r>
    </w:p>
    <w:p>
      <w:pPr>
        <w:spacing w:after="120" w:before="0" w:line="320" w:lineRule="auto"/>
        <w:ind w:left="720" w:hanging="720"/>
      </w:pPr>
      <w:r>
        <w:rPr>
          <w:rFonts w:ascii="Garamond" w:cs="Garamond" w:eastAsia="Garamond" w:hAnsi="Garamond"/>
          <w:color w:val="222222"/>
          <w:sz w:val="22"/>
          <w:szCs w:val="22"/>
        </w:rPr>
        <w:t xml:space="preserve">Yang, C., &amp; Lee, K. (2024). Enhancing financial advisory services with generative AI. Journal of Risk and Financial Management, 17(10), 470. https://doi.org/10.3390/jrfm17100470</w:t>
      </w:r>
    </w:p>
    <w:p>
      <w:pPr>
        <w:spacing w:after="120" w:before="0" w:line="320" w:lineRule="auto"/>
        <w:ind w:left="720" w:hanging="720"/>
      </w:pPr>
      <w:r>
        <w:rPr>
          <w:rFonts w:ascii="Garamond" w:cs="Garamond" w:eastAsia="Garamond" w:hAnsi="Garamond"/>
          <w:color w:val="222222"/>
          <w:sz w:val="22"/>
          <w:szCs w:val="22"/>
        </w:rPr>
        <w:t xml:space="preserve">Yaramolu, H. (2025). AI-powered portfolio management. Journal of Computer Science and Technology Studies, 7(3), 3. https://doi.org/10.32996/jcsts.2025.7.3.3</w:t>
      </w:r>
    </w:p>
    <w:p>
      <w:pPr>
        <w:spacing w:after="120" w:before="0" w:line="320" w:lineRule="auto"/>
        <w:ind w:left="720" w:hanging="720"/>
      </w:pPr>
      <w:r>
        <w:rPr>
          <w:rFonts w:ascii="Garamond" w:cs="Garamond" w:eastAsia="Garamond" w:hAnsi="Garamond"/>
          <w:color w:val="222222"/>
          <w:sz w:val="22"/>
          <w:szCs w:val="22"/>
        </w:rPr>
        <w:t xml:space="preserve">Yi, Y., Liu, Y., &amp; Chen, L. (2021). Geopolitical risk and stock market volatility in emerging economies. Mathematical Problems in Engineering, 2021, 1159358. https://doi.org/10.1155/2021/1159358</w:t>
      </w:r>
    </w:p>
    <w:p>
      <w:pPr>
        <w:spacing w:after="120" w:before="0" w:line="320" w:lineRule="auto"/>
        <w:ind w:left="720" w:hanging="720"/>
      </w:pPr>
      <w:r>
        <w:rPr>
          <w:rFonts w:ascii="Garamond" w:cs="Garamond" w:eastAsia="Garamond" w:hAnsi="Garamond"/>
          <w:color w:val="222222"/>
          <w:sz w:val="22"/>
          <w:szCs w:val="22"/>
        </w:rPr>
        <w:t xml:space="preserve">Zhou, X. Research on family business internal governance structure's influence on wealth management decisions. SHS Web of Conferences, 213, 01027. https://doi.org/10.1051/shsconf/202521301027</w:t>
      </w:r>
    </w:p>
    <w:sectPr>
      <w:headerReference w:type="default" r:id="rId7"/>
      <w:footerReference w:type="default" r:id="rId8"/>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0D8" w:sz="4"/>
      </w:pBdr>
      <w:spacing w:before="120"/>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0D8" w:sz="4"/>
      </w:pBdr>
      <w:spacing w:after="120"/>
      <w:jc w:val="right"/>
    </w:pPr>
    <w:r>
      <w:rPr>
        <w:rFonts w:ascii="Arial" w:cs="Arial" w:eastAsia="Arial" w:hAnsi="Arial"/>
        <w:i/>
        <w:iCs/>
        <w:color w:val="888888"/>
        <w:sz w:val="16"/>
        <w:szCs w:val="16"/>
      </w:rPr>
      <w:t xml:space="preserve">The Future of Wealth Management and the Great Wealth Transfer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111111"/>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B2D4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B2D4F"/>
      <w:sz w:val="26"/>
      <w:szCs w:val="26"/>
    </w:rPr>
  </w:style>
  <w:style w:type="paragraph" w:styleId="Heading3">
    <w:name w:val="Heading 3"/>
    <w:basedOn w:val="Normal"/>
    <w:next w:val="Normal"/>
    <w:qFormat/>
    <w:pPr>
      <w:spacing w:after="80" w:before="220"/>
      <w:outlineLvl w:val="2"/>
    </w:pPr>
    <w:rPr>
      <w:rFonts w:ascii="Arial" w:cs="Arial" w:eastAsia="Arial" w:hAnsi="Arial"/>
      <w:b/>
      <w:bCs/>
      <w:i/>
      <w:iCs/>
      <w:color w:val="2C4A7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2026-06-13T22:34:37.832Z</dcterms:created>
  <dcterms:modified xsi:type="dcterms:W3CDTF">2026-06-13T22:34:37.833Z</dcterms:modified>
</cp:coreProperties>
</file>

<file path=docProps/custom.xml><?xml version="1.0" encoding="utf-8"?>
<Properties xmlns="http://schemas.openxmlformats.org/officeDocument/2006/custom-properties" xmlns:vt="http://schemas.openxmlformats.org/officeDocument/2006/docPropsVTypes"/>
</file>