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Calibri" w:cs="Calibri" w:eastAsia="Calibri" w:hAnsi="Calibri"/>
        </w:rPr>
        <w:t xml:space="preserve"/>
      </w:r>
    </w:p>
    <w:p>
      <w:pPr>
        <w:spacing w:after="200"/>
        <w:jc w:val="center"/>
      </w:pPr>
      <w:r>
        <w:rPr>
          <w:rFonts w:ascii="Calibri" w:cs="Calibri" w:eastAsia="Calibri" w:hAnsi="Calibri"/>
          <w:b/>
          <w:bCs/>
          <w:caps/>
          <w:color w:val="01696F"/>
          <w:sz w:val="28"/>
          <w:szCs w:val="28"/>
        </w:rPr>
        <w:t xml:space="preserve">DISSERTATION CHAPTER OUTLINE</w:t>
      </w:r>
    </w:p>
    <w:p>
      <w:pPr>
        <w:spacing w:after="240"/>
        <w:jc w:val="center"/>
      </w:pPr>
      <w:r>
        <w:rPr>
          <w:rFonts w:ascii="Calibri" w:cs="Calibri" w:eastAsia="Calibri" w:hAnsi="Calibri"/>
          <w:b/>
          <w:bCs/>
          <w:color w:val="1B2A33"/>
          <w:sz w:val="40"/>
          <w:szCs w:val="40"/>
        </w:rPr>
        <w:t xml:space="preserve">The Future of Wealth Management and the Great Wealth Transfer</w:t>
      </w:r>
    </w:p>
    <w:p>
      <w:pPr>
        <w:spacing w:after="600"/>
        <w:jc w:val="center"/>
      </w:pPr>
      <w:r>
        <w:rPr>
          <w:rFonts w:ascii="Calibri" w:cs="Calibri" w:eastAsia="Calibri" w:hAnsi="Calibri"/>
          <w:i/>
          <w:iCs/>
          <w:color w:val="2C3E50"/>
          <w:sz w:val="26"/>
          <w:szCs w:val="26"/>
        </w:rPr>
        <w:t xml:space="preserve">Which wealth management teams will be best positioned to win during the greatest wealth transfer in history over the next 10 years?</w:t>
      </w:r>
    </w:p>
    <w:p>
      <w:pPr>
        <w:spacing w:after="120"/>
        <w:jc w:val="center"/>
      </w:pPr>
      <w:r>
        <w:rPr>
          <w:rFonts w:ascii="Calibri" w:cs="Calibri" w:eastAsia="Calibri" w:hAnsi="Calibri"/>
          <w:color w:val="6B7280"/>
          <w:sz w:val="22"/>
          <w:szCs w:val="22"/>
        </w:rPr>
        <w:t xml:space="preserve">PhD/Master's Thesis | Working Draft</w:t>
      </w:r>
    </w:p>
    <w:p>
      <w:pPr>
        <w:spacing w:after="120"/>
        <w:jc w:val="center"/>
      </w:pPr>
      <w:r>
        <w:rPr>
          <w:rFonts w:ascii="Calibri" w:cs="Calibri" w:eastAsia="Calibri" w:hAnsi="Calibri"/>
          <w:color w:val="6B7280"/>
          <w:sz w:val="22"/>
          <w:szCs w:val="22"/>
        </w:rPr>
        <w:t xml:space="preserve">Prepared as a 15-Chapter Structured Outline</w:t>
      </w:r>
    </w:p>
    <w:p>
      <w:r>
        <w:br w:type="page"/>
      </w:r>
    </w:p>
    <w:p>
      <w:pPr>
        <w:pStyle w:val="Heading1"/>
        <w:spacing w:after="200" w:before="0"/>
      </w:pPr>
      <w:r>
        <w:rPr>
          <w:rFonts w:ascii="Calibri" w:cs="Calibri" w:eastAsia="Calibri" w:hAnsi="Calibri"/>
          <w:b/>
          <w:bCs/>
          <w:caps/>
          <w:color w:val="01696F"/>
          <w:sz w:val="28"/>
          <w:szCs w:val="28"/>
        </w:rPr>
        <w:t xml:space="preserve">TABLE OF CONTENTS</w:t>
      </w:r>
    </w:p>
    <w:p>
      <w:pPr>
        <w:spacing w:after="100"/>
      </w:pPr>
      <w:r>
        <w:rPr>
          <w:rFonts w:ascii="Calibri" w:cs="Calibri" w:eastAsia="Calibri" w:hAnsi="Calibri"/>
          <w:b/>
          <w:bCs/>
          <w:color w:val="01696F"/>
          <w:sz w:val="22"/>
          <w:szCs w:val="22"/>
        </w:rPr>
        <w:t xml:space="preserve">Chapter 1  </w:t>
      </w:r>
      <w:r>
        <w:rPr>
          <w:rFonts w:ascii="Calibri" w:cs="Calibri" w:eastAsia="Calibri" w:hAnsi="Calibri"/>
          <w:color w:val="1B2A33"/>
          <w:sz w:val="22"/>
          <w:szCs w:val="22"/>
        </w:rPr>
        <w:t xml:space="preserve">Executive Summary</w:t>
      </w:r>
    </w:p>
    <w:p>
      <w:pPr>
        <w:spacing w:after="100"/>
      </w:pPr>
      <w:r>
        <w:rPr>
          <w:rFonts w:ascii="Calibri" w:cs="Calibri" w:eastAsia="Calibri" w:hAnsi="Calibri"/>
          <w:b/>
          <w:bCs/>
          <w:color w:val="01696F"/>
          <w:sz w:val="22"/>
          <w:szCs w:val="22"/>
        </w:rPr>
        <w:t xml:space="preserve">Chapter 2  </w:t>
      </w:r>
      <w:r>
        <w:rPr>
          <w:rFonts w:ascii="Calibri" w:cs="Calibri" w:eastAsia="Calibri" w:hAnsi="Calibri"/>
          <w:color w:val="1B2A33"/>
          <w:sz w:val="22"/>
          <w:szCs w:val="22"/>
        </w:rPr>
        <w:t xml:space="preserve">Introduction: The Great Wealth Transfer and the Reshaping of an Industry</w:t>
      </w:r>
    </w:p>
    <w:p>
      <w:pPr>
        <w:spacing w:after="100"/>
      </w:pPr>
      <w:r>
        <w:rPr>
          <w:rFonts w:ascii="Calibri" w:cs="Calibri" w:eastAsia="Calibri" w:hAnsi="Calibri"/>
          <w:b/>
          <w:bCs/>
          <w:color w:val="01696F"/>
          <w:sz w:val="22"/>
          <w:szCs w:val="22"/>
        </w:rPr>
        <w:t xml:space="preserve">Chapter 3  </w:t>
      </w:r>
      <w:r>
        <w:rPr>
          <w:rFonts w:ascii="Calibri" w:cs="Calibri" w:eastAsia="Calibri" w:hAnsi="Calibri"/>
          <w:color w:val="1B2A33"/>
          <w:sz w:val="22"/>
          <w:szCs w:val="22"/>
        </w:rPr>
        <w:t xml:space="preserve">Literature Review: Wealth Transfer, Advisor Selection, and the Future of Wealth Management</w:t>
      </w:r>
    </w:p>
    <w:p>
      <w:pPr>
        <w:spacing w:after="100"/>
      </w:pPr>
      <w:r>
        <w:rPr>
          <w:rFonts w:ascii="Calibri" w:cs="Calibri" w:eastAsia="Calibri" w:hAnsi="Calibri"/>
          <w:b/>
          <w:bCs/>
          <w:color w:val="01696F"/>
          <w:sz w:val="22"/>
          <w:szCs w:val="22"/>
        </w:rPr>
        <w:t xml:space="preserve">Chapter 4  </w:t>
      </w:r>
      <w:r>
        <w:rPr>
          <w:rFonts w:ascii="Calibri" w:cs="Calibri" w:eastAsia="Calibri" w:hAnsi="Calibri"/>
          <w:color w:val="1B2A33"/>
          <w:sz w:val="22"/>
          <w:szCs w:val="22"/>
        </w:rPr>
        <w:t xml:space="preserve">Demographic Analysis of Wealth Transferors: Baby Boomers and the Silent Generation</w:t>
      </w:r>
    </w:p>
    <w:p>
      <w:pPr>
        <w:spacing w:after="100"/>
      </w:pPr>
      <w:r>
        <w:rPr>
          <w:rFonts w:ascii="Calibri" w:cs="Calibri" w:eastAsia="Calibri" w:hAnsi="Calibri"/>
          <w:b/>
          <w:bCs/>
          <w:color w:val="01696F"/>
          <w:sz w:val="22"/>
          <w:szCs w:val="22"/>
        </w:rPr>
        <w:t xml:space="preserve">Chapter 5  </w:t>
      </w:r>
      <w:r>
        <w:rPr>
          <w:rFonts w:ascii="Calibri" w:cs="Calibri" w:eastAsia="Calibri" w:hAnsi="Calibri"/>
          <w:color w:val="1B2A33"/>
          <w:sz w:val="22"/>
          <w:szCs w:val="22"/>
        </w:rPr>
        <w:t xml:space="preserve">Demographic Analysis of Wealth Recipients: Gen X, Millennials, and Gen Z</w:t>
      </w:r>
    </w:p>
    <w:p>
      <w:pPr>
        <w:spacing w:after="100"/>
      </w:pPr>
      <w:r>
        <w:rPr>
          <w:rFonts w:ascii="Calibri" w:cs="Calibri" w:eastAsia="Calibri" w:hAnsi="Calibri"/>
          <w:b/>
          <w:bCs/>
          <w:color w:val="01696F"/>
          <w:sz w:val="22"/>
          <w:szCs w:val="22"/>
        </w:rPr>
        <w:t xml:space="preserve">Chapter 6  </w:t>
      </w:r>
      <w:r>
        <w:rPr>
          <w:rFonts w:ascii="Calibri" w:cs="Calibri" w:eastAsia="Calibri" w:hAnsi="Calibri"/>
          <w:color w:val="1B2A33"/>
          <w:sz w:val="22"/>
          <w:szCs w:val="22"/>
        </w:rPr>
        <w:t xml:space="preserve">Geography of the Wealth Transfer</w:t>
      </w:r>
    </w:p>
    <w:p>
      <w:pPr>
        <w:spacing w:after="100"/>
      </w:pPr>
      <w:r>
        <w:rPr>
          <w:rFonts w:ascii="Calibri" w:cs="Calibri" w:eastAsia="Calibri" w:hAnsi="Calibri"/>
          <w:b/>
          <w:bCs/>
          <w:color w:val="01696F"/>
          <w:sz w:val="22"/>
          <w:szCs w:val="22"/>
        </w:rPr>
        <w:t xml:space="preserve">Chapter 7  </w:t>
      </w:r>
      <w:r>
        <w:rPr>
          <w:rFonts w:ascii="Calibri" w:cs="Calibri" w:eastAsia="Calibri" w:hAnsi="Calibri"/>
          <w:color w:val="1B2A33"/>
          <w:sz w:val="22"/>
          <w:szCs w:val="22"/>
        </w:rPr>
        <w:t xml:space="preserve">Client Psychology and Advisor Selection</w:t>
      </w:r>
    </w:p>
    <w:p>
      <w:pPr>
        <w:spacing w:after="100"/>
      </w:pPr>
      <w:r>
        <w:rPr>
          <w:rFonts w:ascii="Calibri" w:cs="Calibri" w:eastAsia="Calibri" w:hAnsi="Calibri"/>
          <w:b/>
          <w:bCs/>
          <w:color w:val="01696F"/>
          <w:sz w:val="22"/>
          <w:szCs w:val="22"/>
        </w:rPr>
        <w:t xml:space="preserve">Chapter 8  </w:t>
      </w:r>
      <w:r>
        <w:rPr>
          <w:rFonts w:ascii="Calibri" w:cs="Calibri" w:eastAsia="Calibri" w:hAnsi="Calibri"/>
          <w:color w:val="1B2A33"/>
          <w:sz w:val="22"/>
          <w:szCs w:val="22"/>
        </w:rPr>
        <w:t xml:space="preserve">History and Evolution of Wealth Management Fee Models</w:t>
      </w:r>
    </w:p>
    <w:p>
      <w:pPr>
        <w:spacing w:after="100"/>
      </w:pPr>
      <w:r>
        <w:rPr>
          <w:rFonts w:ascii="Calibri" w:cs="Calibri" w:eastAsia="Calibri" w:hAnsi="Calibri"/>
          <w:b/>
          <w:bCs/>
          <w:color w:val="01696F"/>
          <w:sz w:val="22"/>
          <w:szCs w:val="22"/>
        </w:rPr>
        <w:t xml:space="preserve">Chapter 9  </w:t>
      </w:r>
      <w:r>
        <w:rPr>
          <w:rFonts w:ascii="Calibri" w:cs="Calibri" w:eastAsia="Calibri" w:hAnsi="Calibri"/>
          <w:color w:val="1B2A33"/>
          <w:sz w:val="22"/>
          <w:szCs w:val="22"/>
        </w:rPr>
        <w:t xml:space="preserve">Technology, the Internet, and AI: Then, Now, and Next</w:t>
      </w:r>
    </w:p>
    <w:p>
      <w:pPr>
        <w:spacing w:after="100"/>
      </w:pPr>
      <w:r>
        <w:rPr>
          <w:rFonts w:ascii="Calibri" w:cs="Calibri" w:eastAsia="Calibri" w:hAnsi="Calibri"/>
          <w:b/>
          <w:bCs/>
          <w:color w:val="01696F"/>
          <w:sz w:val="22"/>
          <w:szCs w:val="22"/>
        </w:rPr>
        <w:t xml:space="preserve">Chapter 10  </w:t>
      </w:r>
      <w:r>
        <w:rPr>
          <w:rFonts w:ascii="Calibri" w:cs="Calibri" w:eastAsia="Calibri" w:hAnsi="Calibri"/>
          <w:color w:val="1B2A33"/>
          <w:sz w:val="22"/>
          <w:szCs w:val="22"/>
        </w:rPr>
        <w:t xml:space="preserve">Client Acquisition: Past, Present, and Future</w:t>
      </w:r>
    </w:p>
    <w:p>
      <w:pPr>
        <w:spacing w:after="100"/>
      </w:pPr>
      <w:r>
        <w:rPr>
          <w:rFonts w:ascii="Calibri" w:cs="Calibri" w:eastAsia="Calibri" w:hAnsi="Calibri"/>
          <w:b/>
          <w:bCs/>
          <w:color w:val="01696F"/>
          <w:sz w:val="22"/>
          <w:szCs w:val="22"/>
        </w:rPr>
        <w:t xml:space="preserve">Chapter 11  </w:t>
      </w:r>
      <w:r>
        <w:rPr>
          <w:rFonts w:ascii="Calibri" w:cs="Calibri" w:eastAsia="Calibri" w:hAnsi="Calibri"/>
          <w:color w:val="1B2A33"/>
          <w:sz w:val="22"/>
          <w:szCs w:val="22"/>
        </w:rPr>
        <w:t xml:space="preserve">Competitive Landscape: How Major Firms Are Positioning for the Transfer</w:t>
      </w:r>
    </w:p>
    <w:p>
      <w:pPr>
        <w:spacing w:after="100"/>
      </w:pPr>
      <w:r>
        <w:rPr>
          <w:rFonts w:ascii="Calibri" w:cs="Calibri" w:eastAsia="Calibri" w:hAnsi="Calibri"/>
          <w:b/>
          <w:bCs/>
          <w:color w:val="01696F"/>
          <w:sz w:val="22"/>
          <w:szCs w:val="22"/>
        </w:rPr>
        <w:t xml:space="preserve">Chapter 12  </w:t>
      </w:r>
      <w:r>
        <w:rPr>
          <w:rFonts w:ascii="Calibri" w:cs="Calibri" w:eastAsia="Calibri" w:hAnsi="Calibri"/>
          <w:color w:val="1B2A33"/>
          <w:sz w:val="22"/>
          <w:szCs w:val="22"/>
        </w:rPr>
        <w:t xml:space="preserve">Quantitative Model / Regression Framework</w:t>
      </w:r>
    </w:p>
    <w:p>
      <w:pPr>
        <w:spacing w:after="100"/>
      </w:pPr>
      <w:r>
        <w:rPr>
          <w:rFonts w:ascii="Calibri" w:cs="Calibri" w:eastAsia="Calibri" w:hAnsi="Calibri"/>
          <w:b/>
          <w:bCs/>
          <w:color w:val="01696F"/>
          <w:sz w:val="22"/>
          <w:szCs w:val="22"/>
        </w:rPr>
        <w:t xml:space="preserve">Chapter 13  </w:t>
      </w:r>
      <w:r>
        <w:rPr>
          <w:rFonts w:ascii="Calibri" w:cs="Calibri" w:eastAsia="Calibri" w:hAnsi="Calibri"/>
          <w:color w:val="1B2A33"/>
          <w:sz w:val="22"/>
          <w:szCs w:val="22"/>
        </w:rPr>
        <w:t xml:space="preserve">Key Risks and Disruptors to the Wealth Management Model</w:t>
      </w:r>
    </w:p>
    <w:p>
      <w:pPr>
        <w:spacing w:after="100"/>
      </w:pPr>
      <w:r>
        <w:rPr>
          <w:rFonts w:ascii="Calibri" w:cs="Calibri" w:eastAsia="Calibri" w:hAnsi="Calibri"/>
          <w:b/>
          <w:bCs/>
          <w:color w:val="01696F"/>
          <w:sz w:val="22"/>
          <w:szCs w:val="22"/>
        </w:rPr>
        <w:t xml:space="preserve">Chapter 14  </w:t>
      </w:r>
      <w:r>
        <w:rPr>
          <w:rFonts w:ascii="Calibri" w:cs="Calibri" w:eastAsia="Calibri" w:hAnsi="Calibri"/>
          <w:color w:val="1B2A33"/>
          <w:sz w:val="22"/>
          <w:szCs w:val="22"/>
        </w:rPr>
        <w:t xml:space="preserve">The Winning Wealth Management Team of the Future</w:t>
      </w:r>
    </w:p>
    <w:p>
      <w:pPr>
        <w:spacing w:after="100"/>
      </w:pPr>
      <w:r>
        <w:rPr>
          <w:rFonts w:ascii="Calibri" w:cs="Calibri" w:eastAsia="Calibri" w:hAnsi="Calibri"/>
          <w:b/>
          <w:bCs/>
          <w:color w:val="01696F"/>
          <w:sz w:val="22"/>
          <w:szCs w:val="22"/>
        </w:rPr>
        <w:t xml:space="preserve">Chapter 15  </w:t>
      </w:r>
      <w:r>
        <w:rPr>
          <w:rFonts w:ascii="Calibri" w:cs="Calibri" w:eastAsia="Calibri" w:hAnsi="Calibri"/>
          <w:color w:val="1B2A33"/>
          <w:sz w:val="22"/>
          <w:szCs w:val="22"/>
        </w:rPr>
        <w:t xml:space="preserve">Conclusion: Answering the Central Thesis</w:t>
      </w:r>
    </w:p>
    <w:p>
      <w:r>
        <w:br w:type="page"/>
      </w:r>
    </w:p>
    <w:p>
      <w:pPr>
        <w:pageBreakBefore/>
      </w:pPr>
    </w:p>
    <w:p>
      <w:pPr>
        <w:pStyle w:val="Heading1"/>
        <w:spacing w:after="60" w:before="0"/>
      </w:pPr>
      <w:r>
        <w:rPr>
          <w:rFonts w:ascii="Calibri" w:cs="Calibri" w:eastAsia="Calibri" w:hAnsi="Calibri"/>
          <w:b/>
          <w:bCs/>
          <w:caps/>
          <w:color w:val="01696F"/>
          <w:sz w:val="28"/>
          <w:szCs w:val="28"/>
        </w:rPr>
        <w:t xml:space="preserve">CHAPTER 1</w:t>
      </w:r>
    </w:p>
    <w:p>
      <w:pPr>
        <w:pStyle w:val="Heading2"/>
        <w:spacing w:after="80" w:before="60"/>
      </w:pPr>
      <w:r>
        <w:rPr>
          <w:rFonts w:ascii="Calibri" w:cs="Calibri" w:eastAsia="Calibri" w:hAnsi="Calibri"/>
          <w:b/>
          <w:bCs/>
          <w:color w:val="1B2A33"/>
          <w:sz w:val="36"/>
          <w:szCs w:val="36"/>
        </w:rPr>
        <w:t xml:space="preserve">Executive Summary</w:t>
      </w:r>
    </w:p>
    <w:p>
      <w:pPr>
        <w:spacing w:after="240" w:before="0"/>
      </w:pPr>
      <w:r>
        <w:rPr>
          <w:rFonts w:ascii="Calibri" w:cs="Calibri" w:eastAsia="Calibri" w:hAnsi="Calibri"/>
          <w:i/>
          <w:iCs/>
          <w:color w:val="2C3E50"/>
          <w:sz w:val="24"/>
          <w:szCs w:val="24"/>
        </w:rPr>
        <w:t xml:space="preserve">A Concise Overview of the Dissertation Thesis, Methodology, and Principal Findings</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This chapter synthesizes the dissertation's central inquiry — which wealth management teams will be best positioned to capture assets during the greatest intergenerational wealth transfer in history — into a compact, decision-ready narrative for senior practitioners, policymakers, and academic reviewers.</w:t>
      </w:r>
    </w:p>
    <w:p>
      <w:pPr>
        <w:spacing w:after="120" w:line="276"/>
      </w:pPr>
      <w:r>
        <w:rPr>
          <w:rFonts w:ascii="Calibri" w:cs="Calibri" w:eastAsia="Calibri" w:hAnsi="Calibri"/>
          <w:sz w:val="22"/>
          <w:szCs w:val="22"/>
        </w:rPr>
        <w:t xml:space="preserve">It distills the scale of the transfer (estimated at $84–$124 trillion globally over the next decade), the demographic and behavioral forces reshaping client expectations, the competitive dynamics across wirehouse, RIA, and fintech channels, and the empirically derived characteristics of the winning advisory team of the future.</w:t>
      </w:r>
    </w:p>
    <w:p>
      <w:pPr>
        <w:spacing w:after="120" w:line="276"/>
      </w:pPr>
      <w:r>
        <w:rPr>
          <w:rFonts w:ascii="Calibri" w:cs="Calibri" w:eastAsia="Calibri" w:hAnsi="Calibri"/>
          <w:sz w:val="22"/>
          <w:szCs w:val="22"/>
        </w:rPr>
        <w:t xml:space="preserve">The chapter serves as both a standalone briefing document and a navigational guide to the fifteen chapters that follow, orienting the reader on methodology, key quantitative models, and the dissertation's original contributions to the literature.</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#1] "The Great Wealth Transfer: A Great Missed Opportunity?" — Langley (2026)</w:t>
      </w:r>
    </w:p>
    <w:p>
      <w:pPr>
        <w:pStyle w:val="ListParagraph"/>
        <w:numPr>
          <w:ilvl w:val="0"/>
          <w:numId w:val="2"/>
        </w:numPr>
        <w:spacing w:after="80"/>
      </w:pPr>
      <w:r>
        <w:rPr>
          <w:rFonts w:ascii="Calibri" w:cs="Calibri" w:eastAsia="Calibri" w:hAnsi="Calibri"/>
          <w:sz w:val="22"/>
          <w:szCs w:val="22"/>
        </w:rPr>
        <w:t xml:space="preserve">[Paper #3] "Intergenerational Wealth Transfer: Opportunities &amp; Challenges" — Narayan (2025)</w:t>
      </w:r>
    </w:p>
    <w:p>
      <w:pPr>
        <w:pStyle w:val="ListParagraph"/>
        <w:numPr>
          <w:ilvl w:val="0"/>
          <w:numId w:val="2"/>
        </w:numPr>
        <w:spacing w:after="80"/>
      </w:pPr>
      <w:r>
        <w:rPr>
          <w:rFonts w:ascii="Calibri" w:cs="Calibri" w:eastAsia="Calibri" w:hAnsi="Calibri"/>
          <w:sz w:val="22"/>
          <w:szCs w:val="22"/>
        </w:rPr>
        <w:t xml:space="preserve">[Paper #4] "AWAKEN Regenerative Intelligence — $115 Trillion Intergenerational Wealth Transfer" — Ooi WG (2025)</w:t>
      </w:r>
    </w:p>
    <w:p>
      <w:pPr>
        <w:pStyle w:val="ListParagraph"/>
        <w:numPr>
          <w:ilvl w:val="0"/>
          <w:numId w:val="2"/>
        </w:numPr>
        <w:spacing w:after="80"/>
      </w:pPr>
      <w:r>
        <w:rPr>
          <w:rFonts w:ascii="Calibri" w:cs="Calibri" w:eastAsia="Calibri" w:hAnsi="Calibri"/>
          <w:sz w:val="22"/>
          <w:szCs w:val="22"/>
        </w:rPr>
        <w:t xml:space="preserve">[Paper #41] "Artificial Intelligence in Wealth Management: Transforming the Future of Financial Advisory Services" — Bhardwaj (2025)</w:t>
      </w:r>
    </w:p>
    <w:p>
      <w:pPr>
        <w:pStyle w:val="ListParagraph"/>
        <w:numPr>
          <w:ilvl w:val="0"/>
          <w:numId w:val="2"/>
        </w:numPr>
        <w:spacing w:after="80"/>
      </w:pPr>
      <w:r>
        <w:rPr>
          <w:rFonts w:ascii="Calibri" w:cs="Calibri" w:eastAsia="Calibri" w:hAnsi="Calibri"/>
          <w:sz w:val="22"/>
          <w:szCs w:val="22"/>
        </w:rPr>
        <w:t xml:space="preserve">[Paper #57] "AUM-Based Compensation and Financial Advice" — Turner &amp; Giordano (2020)</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Associates: ~$84.4 trillion estimated U.S. wealth transfer over the next decade (latest Cerulli U.S. High-Net-Worth and Ultra-High-Net-Worth Markets report)</w:t>
      </w:r>
    </w:p>
    <w:p>
      <w:pPr>
        <w:pStyle w:val="ListParagraph"/>
        <w:numPr>
          <w:ilvl w:val="0"/>
          <w:numId w:val="2"/>
        </w:numPr>
        <w:spacing w:after="80"/>
      </w:pPr>
      <w:r>
        <w:rPr>
          <w:rFonts w:ascii="Calibri" w:cs="Calibri" w:eastAsia="Calibri" w:hAnsi="Calibri"/>
          <w:sz w:val="22"/>
          <w:szCs w:val="22"/>
        </w:rPr>
        <w:t xml:space="preserve">Cerulli: Advisor headcount declining ~1.5% per year; ~37% of advisors plan to retire within 10 years, representing ~$2.4 trillion in AUM at risk of transfer</w:t>
      </w:r>
    </w:p>
    <w:p>
      <w:pPr>
        <w:pStyle w:val="ListParagraph"/>
        <w:numPr>
          <w:ilvl w:val="0"/>
          <w:numId w:val="2"/>
        </w:numPr>
        <w:spacing w:after="80"/>
      </w:pPr>
      <w:r>
        <w:rPr>
          <w:rFonts w:ascii="Calibri" w:cs="Calibri" w:eastAsia="Calibri" w:hAnsi="Calibri"/>
          <w:sz w:val="22"/>
          <w:szCs w:val="22"/>
        </w:rPr>
        <w:t xml:space="preserve">Capgemini World Wealth Report 2024: Global HNWI population surpassed 22.8 million; global HNWI wealth at $86.8 trillion</w:t>
      </w:r>
    </w:p>
    <w:p>
      <w:pPr>
        <w:pStyle w:val="ListParagraph"/>
        <w:numPr>
          <w:ilvl w:val="0"/>
          <w:numId w:val="2"/>
        </w:numPr>
        <w:spacing w:after="80"/>
      </w:pPr>
      <w:r>
        <w:rPr>
          <w:rFonts w:ascii="Calibri" w:cs="Calibri" w:eastAsia="Calibri" w:hAnsi="Calibri"/>
          <w:sz w:val="22"/>
          <w:szCs w:val="22"/>
        </w:rPr>
        <w:t xml:space="preserve">UBS Global Wealth Report 2024: Total global private wealth ~$454 trillion; median wealth per adult up 4.7% YoY</w:t>
      </w:r>
    </w:p>
    <w:p>
      <w:pPr>
        <w:pStyle w:val="ListParagraph"/>
        <w:numPr>
          <w:ilvl w:val="0"/>
          <w:numId w:val="2"/>
        </w:numPr>
        <w:spacing w:after="80"/>
      </w:pPr>
      <w:r>
        <w:rPr>
          <w:rFonts w:ascii="Calibri" w:cs="Calibri" w:eastAsia="Calibri" w:hAnsi="Calibri"/>
          <w:sz w:val="22"/>
          <w:szCs w:val="22"/>
        </w:rPr>
        <w:t xml:space="preserve">McKinsey &amp; Company: U.S. wealth management industry revenues ~$330 billion; fee compression reducing average AUM fee ~2–3 bps per annum</w:t>
      </w:r>
    </w:p>
    <w:p>
      <w:pPr>
        <w:pStyle w:val="ListParagraph"/>
        <w:numPr>
          <w:ilvl w:val="0"/>
          <w:numId w:val="2"/>
        </w:numPr>
        <w:spacing w:after="80"/>
      </w:pPr>
      <w:r>
        <w:rPr>
          <w:rFonts w:ascii="Calibri" w:cs="Calibri" w:eastAsia="Calibri" w:hAnsi="Calibri"/>
          <w:sz w:val="22"/>
          <w:szCs w:val="22"/>
        </w:rPr>
        <w:t xml:space="preserve">Federal Reserve Survey of Consumer Finances 2022: Top 1% of U.S. households hold ~30.6% of total wealth; top 10% hold ~66.9%</w:t>
      </w:r>
    </w:p>
    <w:p>
      <w:pPr>
        <w:pStyle w:val="ListParagraph"/>
        <w:numPr>
          <w:ilvl w:val="0"/>
          <w:numId w:val="2"/>
        </w:numPr>
        <w:spacing w:after="80"/>
      </w:pPr>
      <w:r>
        <w:rPr>
          <w:rFonts w:ascii="Calibri" w:cs="Calibri" w:eastAsia="Calibri" w:hAnsi="Calibri"/>
          <w:sz w:val="22"/>
          <w:szCs w:val="22"/>
        </w:rPr>
        <w:t xml:space="preserve">BlackRock Global Investor Pulse: 67% of millennial investors open to digital-first advisory relationships</w:t>
      </w:r>
    </w:p>
    <w:p>
      <w:pPr>
        <w:pStyle w:val="ListParagraph"/>
        <w:numPr>
          <w:ilvl w:val="0"/>
          <w:numId w:val="2"/>
        </w:numPr>
        <w:spacing w:after="80"/>
      </w:pPr>
      <w:r>
        <w:rPr>
          <w:rFonts w:ascii="Calibri" w:cs="Calibri" w:eastAsia="Calibri" w:hAnsi="Calibri"/>
          <w:sz w:val="22"/>
          <w:szCs w:val="22"/>
        </w:rPr>
        <w:t xml:space="preserve">Fidelity Investments: RIAs now custody ~$9 trillion in client assets, with organic growth rates 2x those of wirehouses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No single published study integrates all three vectors — demographic transfer scale, advisor competitive positioning, and AI adoption — into a unified predictive framework; this dissertation provides that synthesis.</w:t>
      </w:r>
    </w:p>
    <w:p>
      <w:pPr>
        <w:pStyle w:val="ListParagraph"/>
        <w:numPr>
          <w:ilvl w:val="0"/>
          <w:numId w:val="2"/>
        </w:numPr>
        <w:spacing w:after="80"/>
      </w:pPr>
      <w:r>
        <w:rPr>
          <w:rFonts w:ascii="Calibri" w:cs="Calibri" w:eastAsia="Calibri" w:hAnsi="Calibri"/>
          <w:sz w:val="22"/>
          <w:szCs w:val="22"/>
        </w:rPr>
        <w:t xml:space="preserve">Executive summaries in practitioner literature typically omit regression-based confidence intervals on market share projections; this chapter must present headline figures from the Chapter 12 quantitative model.</w:t>
      </w:r>
    </w:p>
    <w:p>
      <w:pPr>
        <w:pStyle w:val="ListParagraph"/>
        <w:numPr>
          <w:ilvl w:val="0"/>
          <w:numId w:val="2"/>
        </w:numPr>
        <w:spacing w:after="80"/>
      </w:pPr>
      <w:r>
        <w:rPr>
          <w:rFonts w:ascii="Calibri" w:cs="Calibri" w:eastAsia="Calibri" w:hAnsi="Calibri"/>
          <w:sz w:val="22"/>
          <w:szCs w:val="22"/>
        </w:rPr>
        <w:t xml:space="preserve">The existing literature lacks a practitioner-grade scorecard that translates academic findings into actionable team-building criteria; the dissertation's Chapter 14 framework fills this gap and should be previewed here.</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Having established the dissertation's scope and headline findings, Chapter 2 contextualizes the great wealth transfer within a century of U.S. wealth accumulation and the structural forces now converging to reshape the advisory industry.</w:t>
      </w:r>
    </w:p>
    <w:p>
      <w:pPr>
        <w:pageBreakBefore/>
      </w:pPr>
    </w:p>
    <w:p>
      <w:pPr>
        <w:pStyle w:val="Heading1"/>
        <w:spacing w:after="60" w:before="0"/>
      </w:pPr>
      <w:r>
        <w:rPr>
          <w:rFonts w:ascii="Calibri" w:cs="Calibri" w:eastAsia="Calibri" w:hAnsi="Calibri"/>
          <w:b/>
          <w:bCs/>
          <w:caps/>
          <w:color w:val="01696F"/>
          <w:sz w:val="28"/>
          <w:szCs w:val="28"/>
        </w:rPr>
        <w:t xml:space="preserve">CHAPTER 2</w:t>
      </w:r>
    </w:p>
    <w:p>
      <w:pPr>
        <w:pStyle w:val="Heading2"/>
        <w:spacing w:after="80" w:before="60"/>
      </w:pPr>
      <w:r>
        <w:rPr>
          <w:rFonts w:ascii="Calibri" w:cs="Calibri" w:eastAsia="Calibri" w:hAnsi="Calibri"/>
          <w:b/>
          <w:bCs/>
          <w:color w:val="1B2A33"/>
          <w:sz w:val="36"/>
          <w:szCs w:val="36"/>
        </w:rPr>
        <w:t xml:space="preserve">Introduction: The Great Wealth Transfer and the Reshaping of an Industry</w:t>
      </w:r>
    </w:p>
    <w:p>
      <w:pPr>
        <w:spacing w:after="240" w:before="0"/>
      </w:pPr>
      <w:r>
        <w:rPr>
          <w:rFonts w:ascii="Calibri" w:cs="Calibri" w:eastAsia="Calibri" w:hAnsi="Calibri"/>
          <w:i/>
          <w:iCs/>
          <w:color w:val="2C3E50"/>
          <w:sz w:val="24"/>
          <w:szCs w:val="24"/>
        </w:rPr>
        <w:t xml:space="preserve">Historical Context, Research Motivation, and the Central Thesis</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convergence of Baby Boomer mortality and longevity-adjusted retirement drawdowns will trigger the largest single-generation wealth transfer in recorded history — a process already underway and accelerating through 2035 — making the strategic response of wealth management firms the defining competitive question of the decade.</w:t>
      </w:r>
    </w:p>
    <w:p>
      <w:pPr>
        <w:spacing w:after="120" w:line="276"/>
      </w:pPr>
      <w:r>
        <w:rPr>
          <w:rFonts w:ascii="Calibri" w:cs="Calibri" w:eastAsia="Calibri" w:hAnsi="Calibri"/>
          <w:sz w:val="22"/>
          <w:szCs w:val="22"/>
        </w:rPr>
        <w:t xml:space="preserve">This chapter establishes the motivating problem: incumbent advisory models built on personal relationships with wealth creators are systematically ill-equipped to retain assets as those assets pass to a generation with fundamentally different behavioral, technological, and values-driven expectations.</w:t>
      </w:r>
    </w:p>
    <w:p>
      <w:pPr>
        <w:spacing w:after="120" w:line="276"/>
      </w:pPr>
      <w:r>
        <w:rPr>
          <w:rFonts w:ascii="Calibri" w:cs="Calibri" w:eastAsia="Calibri" w:hAnsi="Calibri"/>
          <w:sz w:val="22"/>
          <w:szCs w:val="22"/>
        </w:rPr>
        <w:t xml:space="preserve">The central thesis is formally stated: firms that combine next-generation engagement capability, AI-augmented service delivery, fee model flexibility, and demonstrated multigenerational planning competency will disproportionately capture net new assets over the next ten years.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#1] "The Great Wealth Transfer: A Great Missed Opportunity?" — Langley (2026)</w:t>
      </w:r>
    </w:p>
    <w:p>
      <w:pPr>
        <w:pStyle w:val="ListParagraph"/>
        <w:numPr>
          <w:ilvl w:val="0"/>
          <w:numId w:val="2"/>
        </w:numPr>
        <w:spacing w:after="80"/>
      </w:pPr>
      <w:r>
        <w:rPr>
          <w:rFonts w:ascii="Calibri" w:cs="Calibri" w:eastAsia="Calibri" w:hAnsi="Calibri"/>
          <w:sz w:val="22"/>
          <w:szCs w:val="22"/>
        </w:rPr>
        <w:t xml:space="preserve">[Paper #2] "What Factors Could Upend the Great Wealth Transfer?" — Lindley (2026)</w:t>
      </w:r>
    </w:p>
    <w:p>
      <w:pPr>
        <w:pStyle w:val="ListParagraph"/>
        <w:numPr>
          <w:ilvl w:val="0"/>
          <w:numId w:val="2"/>
        </w:numPr>
        <w:spacing w:after="80"/>
      </w:pPr>
      <w:r>
        <w:rPr>
          <w:rFonts w:ascii="Calibri" w:cs="Calibri" w:eastAsia="Calibri" w:hAnsi="Calibri"/>
          <w:sz w:val="22"/>
          <w:szCs w:val="22"/>
        </w:rPr>
        <w:t xml:space="preserve">[Paper #3] "Intergenerational Wealth Transfer: Opportunities &amp; Challenges" — Narayan (2025)</w:t>
      </w:r>
    </w:p>
    <w:p>
      <w:pPr>
        <w:pStyle w:val="ListParagraph"/>
        <w:numPr>
          <w:ilvl w:val="0"/>
          <w:numId w:val="2"/>
        </w:numPr>
        <w:spacing w:after="80"/>
      </w:pPr>
      <w:r>
        <w:rPr>
          <w:rFonts w:ascii="Calibri" w:cs="Calibri" w:eastAsia="Calibri" w:hAnsi="Calibri"/>
          <w:sz w:val="22"/>
          <w:szCs w:val="22"/>
        </w:rPr>
        <w:t xml:space="preserve">[Paper #4] "AWAKEN Regenerative Intelligence — $115 Trillion Intergenerational Wealth Transfer" — Ooi WG (2025)</w:t>
      </w:r>
    </w:p>
    <w:p>
      <w:pPr>
        <w:pStyle w:val="ListParagraph"/>
        <w:numPr>
          <w:ilvl w:val="0"/>
          <w:numId w:val="2"/>
        </w:numPr>
        <w:spacing w:after="80"/>
      </w:pPr>
      <w:r>
        <w:rPr>
          <w:rFonts w:ascii="Calibri" w:cs="Calibri" w:eastAsia="Calibri" w:hAnsi="Calibri"/>
          <w:sz w:val="22"/>
          <w:szCs w:val="22"/>
        </w:rPr>
        <w:t xml:space="preserve">[Paper #10] "Mind the Gap: Inheritance and Inequality in Retirement Wealth" — Brenner &amp; Stolper (2020)</w:t>
      </w:r>
    </w:p>
    <w:p>
      <w:pPr>
        <w:pStyle w:val="ListParagraph"/>
        <w:numPr>
          <w:ilvl w:val="0"/>
          <w:numId w:val="2"/>
        </w:numPr>
        <w:spacing w:after="80"/>
      </w:pPr>
      <w:r>
        <w:rPr>
          <w:rFonts w:ascii="Calibri" w:cs="Calibri" w:eastAsia="Calibri" w:hAnsi="Calibri"/>
          <w:sz w:val="22"/>
          <w:szCs w:val="22"/>
        </w:rPr>
        <w:t xml:space="preserve">[Paper #54] "The Fintech Revolution and the Changing Role of Financial Advisors" — George &amp; Coffi (2022)</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Associates: $84.4 trillion estimated U.S. intergenerational transfer 2023–2033; $53 trillion passing from Boomers specifically</w:t>
      </w:r>
    </w:p>
    <w:p>
      <w:pPr>
        <w:pStyle w:val="ListParagraph"/>
        <w:numPr>
          <w:ilvl w:val="0"/>
          <w:numId w:val="2"/>
        </w:numPr>
        <w:spacing w:after="80"/>
      </w:pPr>
      <w:r>
        <w:rPr>
          <w:rFonts w:ascii="Calibri" w:cs="Calibri" w:eastAsia="Calibri" w:hAnsi="Calibri"/>
          <w:sz w:val="22"/>
          <w:szCs w:val="22"/>
        </w:rPr>
        <w:t xml:space="preserve">Federal Reserve: U.S. household net worth at $156 trillion as of Q3 2024 (Z.1 Financial Accounts)</w:t>
      </w:r>
    </w:p>
    <w:p>
      <w:pPr>
        <w:pStyle w:val="ListParagraph"/>
        <w:numPr>
          <w:ilvl w:val="0"/>
          <w:numId w:val="2"/>
        </w:numPr>
        <w:spacing w:after="80"/>
      </w:pPr>
      <w:r>
        <w:rPr>
          <w:rFonts w:ascii="Calibri" w:cs="Calibri" w:eastAsia="Calibri" w:hAnsi="Calibri"/>
          <w:sz w:val="22"/>
          <w:szCs w:val="22"/>
        </w:rPr>
        <w:t xml:space="preserve">Capgemini 2024: 83% of HNWI heirs switched primary wealth managers after receiving an inheritance</w:t>
      </w:r>
    </w:p>
    <w:p>
      <w:pPr>
        <w:pStyle w:val="ListParagraph"/>
        <w:numPr>
          <w:ilvl w:val="0"/>
          <w:numId w:val="2"/>
        </w:numPr>
        <w:spacing w:after="80"/>
      </w:pPr>
      <w:r>
        <w:rPr>
          <w:rFonts w:ascii="Calibri" w:cs="Calibri" w:eastAsia="Calibri" w:hAnsi="Calibri"/>
          <w:sz w:val="22"/>
          <w:szCs w:val="22"/>
        </w:rPr>
        <w:t xml:space="preserve">Cerulli: Only 33% of advisors have a documented next-generation client engagement strategy</w:t>
      </w:r>
    </w:p>
    <w:p>
      <w:pPr>
        <w:pStyle w:val="ListParagraph"/>
        <w:numPr>
          <w:ilvl w:val="0"/>
          <w:numId w:val="2"/>
        </w:numPr>
        <w:spacing w:after="80"/>
      </w:pPr>
      <w:r>
        <w:rPr>
          <w:rFonts w:ascii="Calibri" w:cs="Calibri" w:eastAsia="Calibri" w:hAnsi="Calibri"/>
          <w:sz w:val="22"/>
          <w:szCs w:val="22"/>
        </w:rPr>
        <w:t xml:space="preserve">Deloitte Wealth Management Outlook: 45% of clients aged under 45 prefer a hybrid (digital + human) advisory model</w:t>
      </w:r>
    </w:p>
    <w:p>
      <w:pPr>
        <w:pStyle w:val="ListParagraph"/>
        <w:numPr>
          <w:ilvl w:val="0"/>
          <w:numId w:val="2"/>
        </w:numPr>
        <w:spacing w:after="80"/>
      </w:pPr>
      <w:r>
        <w:rPr>
          <w:rFonts w:ascii="Calibri" w:cs="Calibri" w:eastAsia="Calibri" w:hAnsi="Calibri"/>
          <w:sz w:val="22"/>
          <w:szCs w:val="22"/>
        </w:rPr>
        <w:t xml:space="preserve">EY Global Wealth Management Research: 40% of wealth expected to transfer by 2030; heirs cite "lack of relationship with parents' advisor" as #1 reason for switching</w:t>
      </w:r>
    </w:p>
    <w:p>
      <w:pPr>
        <w:pStyle w:val="ListParagraph"/>
        <w:numPr>
          <w:ilvl w:val="0"/>
          <w:numId w:val="2"/>
        </w:numPr>
        <w:spacing w:after="80"/>
      </w:pPr>
      <w:r>
        <w:rPr>
          <w:rFonts w:ascii="Calibri" w:cs="Calibri" w:eastAsia="Calibri" w:hAnsi="Calibri"/>
          <w:sz w:val="22"/>
          <w:szCs w:val="22"/>
        </w:rPr>
        <w:t xml:space="preserve">PwC Asset &amp; Wealth Management 2027: Industry AUM expected to reach $145 trillion by 2025, but fee revenue under pressure</w:t>
      </w:r>
    </w:p>
    <w:p>
      <w:pPr>
        <w:pStyle w:val="ListParagraph"/>
        <w:numPr>
          <w:ilvl w:val="0"/>
          <w:numId w:val="2"/>
        </w:numPr>
        <w:spacing w:after="80"/>
      </w:pPr>
      <w:r>
        <w:rPr>
          <w:rFonts w:ascii="Calibri" w:cs="Calibri" w:eastAsia="Calibri" w:hAnsi="Calibri"/>
          <w:sz w:val="22"/>
          <w:szCs w:val="22"/>
        </w:rPr>
        <w:t xml:space="preserve">FINRA Investor Education Foundation: 56% of Americans have no estate plan as of 2023</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academic literature treats wealth transfer as a sociological or estate-planning problem; a gap exists in framing it explicitly as a competitive market-share event for advisory firms.</w:t>
      </w:r>
    </w:p>
    <w:p>
      <w:pPr>
        <w:pStyle w:val="ListParagraph"/>
        <w:numPr>
          <w:ilvl w:val="0"/>
          <w:numId w:val="2"/>
        </w:numPr>
        <w:spacing w:after="80"/>
      </w:pPr>
      <w:r>
        <w:rPr>
          <w:rFonts w:ascii="Calibri" w:cs="Calibri" w:eastAsia="Calibri" w:hAnsi="Calibri"/>
          <w:sz w:val="22"/>
          <w:szCs w:val="22"/>
        </w:rPr>
        <w:t xml:space="preserve">Most industry white papers cite transfer estimates without disaggregating by wealth band (mass affluent vs. HNW vs. UHNW), leaving advisors without segment-specific strategic guidance; this dissertation provides that segmentation.</w:t>
      </w:r>
    </w:p>
    <w:p>
      <w:pPr>
        <w:pStyle w:val="ListParagraph"/>
        <w:numPr>
          <w:ilvl w:val="0"/>
          <w:numId w:val="2"/>
        </w:numPr>
        <w:spacing w:after="80"/>
      </w:pPr>
      <w:r>
        <w:rPr>
          <w:rFonts w:ascii="Calibri" w:cs="Calibri" w:eastAsia="Calibri" w:hAnsi="Calibri"/>
          <w:sz w:val="22"/>
          <w:szCs w:val="22"/>
        </w:rPr>
        <w:t xml:space="preserve">The motivating question — which team characteristics predict asset retention — has not been tested empirically; Chapter 12 addresses this gap with a multivariate regression model.</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Before examining what the transfer means for advisory firms, Chapter 3 surveys the existing academic and practitioner literature to map the intellectual terrain and identify the white spaces this dissertation occupies.</w:t>
      </w:r>
    </w:p>
    <w:p>
      <w:pPr>
        <w:pageBreakBefore/>
      </w:pPr>
    </w:p>
    <w:p>
      <w:pPr>
        <w:pStyle w:val="Heading1"/>
        <w:spacing w:after="60" w:before="0"/>
      </w:pPr>
      <w:r>
        <w:rPr>
          <w:rFonts w:ascii="Calibri" w:cs="Calibri" w:eastAsia="Calibri" w:hAnsi="Calibri"/>
          <w:b/>
          <w:bCs/>
          <w:caps/>
          <w:color w:val="01696F"/>
          <w:sz w:val="28"/>
          <w:szCs w:val="28"/>
        </w:rPr>
        <w:t xml:space="preserve">CHAPTER 3</w:t>
      </w:r>
    </w:p>
    <w:p>
      <w:pPr>
        <w:pStyle w:val="Heading2"/>
        <w:spacing w:after="80" w:before="60"/>
      </w:pPr>
      <w:r>
        <w:rPr>
          <w:rFonts w:ascii="Calibri" w:cs="Calibri" w:eastAsia="Calibri" w:hAnsi="Calibri"/>
          <w:b/>
          <w:bCs/>
          <w:color w:val="1B2A33"/>
          <w:sz w:val="36"/>
          <w:szCs w:val="36"/>
        </w:rPr>
        <w:t xml:space="preserve">Literature Review: Wealth Transfer, Advisor Selection, and the Future of Wealth Management</w:t>
      </w:r>
    </w:p>
    <w:p>
      <w:pPr>
        <w:spacing w:after="240" w:before="0"/>
      </w:pPr>
      <w:r>
        <w:rPr>
          <w:rFonts w:ascii="Calibri" w:cs="Calibri" w:eastAsia="Calibri" w:hAnsi="Calibri"/>
          <w:i/>
          <w:iCs/>
          <w:color w:val="2C3E50"/>
          <w:sz w:val="24"/>
          <w:szCs w:val="24"/>
        </w:rPr>
        <w:t xml:space="preserve">Synthesizing Academic Research Across Sociology, Behavioral Finance, Financial Technology, and Organizational Strategy</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existing literature on intergenerational wealth transfer is rich in sociological and inequality-focused research but fragmented across disciplinary silos, with limited cross-pollination between academic wealth distribution studies, behavioral finance, technology adoption in financial services, and practitioner strategy literature.</w:t>
      </w:r>
    </w:p>
    <w:p>
      <w:pPr>
        <w:spacing w:after="120" w:line="276"/>
      </w:pPr>
      <w:r>
        <w:rPr>
          <w:rFonts w:ascii="Calibri" w:cs="Calibri" w:eastAsia="Calibri" w:hAnsi="Calibri"/>
          <w:sz w:val="22"/>
          <w:szCs w:val="22"/>
        </w:rPr>
        <w:t xml:space="preserve">This chapter demonstrates that while each strand of the literature illuminates a dimension of the transfer challenge, no prior work integrates demographic transfer mechanics, client psychology, advisor competitive dynamics, and AI-driven service evolution into a single predictive framework.</w:t>
      </w:r>
    </w:p>
    <w:p>
      <w:pPr>
        <w:spacing w:after="120" w:line="276"/>
      </w:pPr>
      <w:r>
        <w:rPr>
          <w:rFonts w:ascii="Calibri" w:cs="Calibri" w:eastAsia="Calibri" w:hAnsi="Calibri"/>
          <w:sz w:val="22"/>
          <w:szCs w:val="22"/>
        </w:rPr>
        <w:t xml:space="preserve">The synthesis reveals a clear gap: the question of which advisory firm characteristics predict asset retention through a generational transfer event is empirically underexplored, justifying this dissertation's quantitative contribution.</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#5] "Intergenerational Wealth Transfers in Great Britain — Comparative Perspective" — Nolan et al. (2022)</w:t>
      </w:r>
    </w:p>
    <w:p>
      <w:pPr>
        <w:pStyle w:val="ListParagraph"/>
        <w:numPr>
          <w:ilvl w:val="0"/>
          <w:numId w:val="2"/>
        </w:numPr>
        <w:spacing w:after="80"/>
      </w:pPr>
      <w:r>
        <w:rPr>
          <w:rFonts w:ascii="Calibri" w:cs="Calibri" w:eastAsia="Calibri" w:hAnsi="Calibri"/>
          <w:sz w:val="22"/>
          <w:szCs w:val="22"/>
        </w:rPr>
        <w:t xml:space="preserve">[Paper #6] "Intergenerational Transfers, Differential Fertility, and Wealth Inequality" — Cooke et al. (2024)</w:t>
      </w:r>
    </w:p>
    <w:p>
      <w:pPr>
        <w:pStyle w:val="ListParagraph"/>
        <w:numPr>
          <w:ilvl w:val="0"/>
          <w:numId w:val="2"/>
        </w:numPr>
        <w:spacing w:after="80"/>
      </w:pPr>
      <w:r>
        <w:rPr>
          <w:rFonts w:ascii="Calibri" w:cs="Calibri" w:eastAsia="Calibri" w:hAnsi="Calibri"/>
          <w:sz w:val="22"/>
          <w:szCs w:val="22"/>
        </w:rPr>
        <w:t xml:space="preserve">[Paper #8] "Generations of Advantage: Multigenerational Correlations in Family Wealth" — Killewald &amp; Pfeffer (2018)</w:t>
      </w:r>
    </w:p>
    <w:p>
      <w:pPr>
        <w:pStyle w:val="ListParagraph"/>
        <w:numPr>
          <w:ilvl w:val="0"/>
          <w:numId w:val="2"/>
        </w:numPr>
        <w:spacing w:after="80"/>
      </w:pPr>
      <w:r>
        <w:rPr>
          <w:rFonts w:ascii="Calibri" w:cs="Calibri" w:eastAsia="Calibri" w:hAnsi="Calibri"/>
          <w:sz w:val="22"/>
          <w:szCs w:val="22"/>
        </w:rPr>
        <w:t xml:space="preserve">[Paper #31] "The Augmented Advisor Model: GenAI Efficiency and Human Trust Boundaries" — Liu (2026)</w:t>
      </w:r>
    </w:p>
    <w:p>
      <w:pPr>
        <w:pStyle w:val="ListParagraph"/>
        <w:numPr>
          <w:ilvl w:val="0"/>
          <w:numId w:val="2"/>
        </w:numPr>
        <w:spacing w:after="80"/>
      </w:pPr>
      <w:r>
        <w:rPr>
          <w:rFonts w:ascii="Calibri" w:cs="Calibri" w:eastAsia="Calibri" w:hAnsi="Calibri"/>
          <w:sz w:val="22"/>
          <w:szCs w:val="22"/>
        </w:rPr>
        <w:t xml:space="preserve">[Paper #34] "An Investigation on Customers' Selection on Wealth Management Services" — Chang &amp; Yao (2015)</w:t>
      </w:r>
    </w:p>
    <w:p>
      <w:pPr>
        <w:pStyle w:val="ListParagraph"/>
        <w:numPr>
          <w:ilvl w:val="0"/>
          <w:numId w:val="2"/>
        </w:numPr>
        <w:spacing w:after="80"/>
      </w:pPr>
      <w:r>
        <w:rPr>
          <w:rFonts w:ascii="Calibri" w:cs="Calibri" w:eastAsia="Calibri" w:hAnsi="Calibri"/>
          <w:sz w:val="22"/>
          <w:szCs w:val="22"/>
        </w:rPr>
        <w:t xml:space="preserve">[Paper #41] "Artificial Intelligence in Wealth Management: Transforming the Future of Financial Advisory Services" — Bhardwaj (2025)</w:t>
      </w:r>
    </w:p>
    <w:p>
      <w:pPr>
        <w:pStyle w:val="ListParagraph"/>
        <w:numPr>
          <w:ilvl w:val="0"/>
          <w:numId w:val="2"/>
        </w:numPr>
        <w:spacing w:after="80"/>
      </w:pPr>
      <w:r>
        <w:rPr>
          <w:rFonts w:ascii="Calibri" w:cs="Calibri" w:eastAsia="Calibri" w:hAnsi="Calibri"/>
          <w:sz w:val="22"/>
          <w:szCs w:val="22"/>
        </w:rPr>
        <w:t xml:space="preserve">[Paper #57] "AUM-Based Compensation and Financial Advice" — Turner &amp; Giordano (2020)</w:t>
      </w:r>
    </w:p>
    <w:p>
      <w:pPr>
        <w:pStyle w:val="ListParagraph"/>
        <w:numPr>
          <w:ilvl w:val="0"/>
          <w:numId w:val="2"/>
        </w:numPr>
        <w:spacing w:after="80"/>
      </w:pPr>
      <w:r>
        <w:rPr>
          <w:rFonts w:ascii="Calibri" w:cs="Calibri" w:eastAsia="Calibri" w:hAnsi="Calibri"/>
          <w:sz w:val="22"/>
          <w:szCs w:val="22"/>
        </w:rPr>
        <w:t xml:space="preserve">[Paper #80] "Behavioral Finance: Investor Psychology and Market Outcomes" — Taylor (2024)</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Scopus/Web of Science: Peer-reviewed articles on "intergenerational wealth transfer" increased 340% 2015–2024, signaling rapid field growth</w:t>
      </w:r>
    </w:p>
    <w:p>
      <w:pPr>
        <w:pStyle w:val="ListParagraph"/>
        <w:numPr>
          <w:ilvl w:val="0"/>
          <w:numId w:val="2"/>
        </w:numPr>
        <w:spacing w:after="80"/>
      </w:pPr>
      <w:r>
        <w:rPr>
          <w:rFonts w:ascii="Calibri" w:cs="Calibri" w:eastAsia="Calibri" w:hAnsi="Calibri"/>
          <w:sz w:val="22"/>
          <w:szCs w:val="22"/>
        </w:rPr>
        <w:t xml:space="preserve">Cerulli Associates: Literature on RIA vs. wirehouse retention rates post-inheritance is sparse; only 12 academic studies directly address advisor switching behavior at wealth transfer events</w:t>
      </w:r>
    </w:p>
    <w:p>
      <w:pPr>
        <w:pStyle w:val="ListParagraph"/>
        <w:numPr>
          <w:ilvl w:val="0"/>
          <w:numId w:val="2"/>
        </w:numPr>
        <w:spacing w:after="80"/>
      </w:pPr>
      <w:r>
        <w:rPr>
          <w:rFonts w:ascii="Calibri" w:cs="Calibri" w:eastAsia="Calibri" w:hAnsi="Calibri"/>
          <w:sz w:val="22"/>
          <w:szCs w:val="22"/>
        </w:rPr>
        <w:t xml:space="preserve">McKinsey Global Wealth Management Survey: 68% of wealth management executives cite "next-gen client engagement" as their top strategic challenge for 2025</w:t>
      </w:r>
    </w:p>
    <w:p>
      <w:pPr>
        <w:pStyle w:val="ListParagraph"/>
        <w:numPr>
          <w:ilvl w:val="0"/>
          <w:numId w:val="2"/>
        </w:numPr>
        <w:spacing w:after="80"/>
      </w:pPr>
      <w:r>
        <w:rPr>
          <w:rFonts w:ascii="Calibri" w:cs="Calibri" w:eastAsia="Calibri" w:hAnsi="Calibri"/>
          <w:sz w:val="22"/>
          <w:szCs w:val="22"/>
        </w:rPr>
        <w:t xml:space="preserve">FINRA/SEC regulatory filings: Robo-advisor AUM grew from ~$100 billion (2016) to ~$2.8 trillion (2024), representing a 28x increase in under a decade</w:t>
      </w:r>
    </w:p>
    <w:p>
      <w:pPr>
        <w:pStyle w:val="ListParagraph"/>
        <w:numPr>
          <w:ilvl w:val="0"/>
          <w:numId w:val="2"/>
        </w:numPr>
        <w:spacing w:after="80"/>
      </w:pPr>
      <w:r>
        <w:rPr>
          <w:rFonts w:ascii="Calibri" w:cs="Calibri" w:eastAsia="Calibri" w:hAnsi="Calibri"/>
          <w:sz w:val="22"/>
          <w:szCs w:val="22"/>
        </w:rPr>
        <w:t xml:space="preserve">Capgemini World Wealth Report 2023: 71% of wealth managers report inadequate technology infrastructure for next-generation client service</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behavioral finance literature (Papers #80–83) examines investor psychology in isolation from the advisor-selection literature (Papers #34–40); this dissertation bridges those streams.</w:t>
      </w:r>
    </w:p>
    <w:p>
      <w:pPr>
        <w:pStyle w:val="ListParagraph"/>
        <w:numPr>
          <w:ilvl w:val="0"/>
          <w:numId w:val="2"/>
        </w:numPr>
        <w:spacing w:after="80"/>
      </w:pPr>
      <w:r>
        <w:rPr>
          <w:rFonts w:ascii="Calibri" w:cs="Calibri" w:eastAsia="Calibri" w:hAnsi="Calibri"/>
          <w:sz w:val="22"/>
          <w:szCs w:val="22"/>
        </w:rPr>
        <w:t xml:space="preserve">ESG preference literature (Papers #75–79) has grown rapidly but has not been connected to generational wealth transfer dynamics or advisor selection criteria; a synthesis chapter contribution is required here.</w:t>
      </w:r>
    </w:p>
    <w:p>
      <w:pPr>
        <w:pStyle w:val="ListParagraph"/>
        <w:numPr>
          <w:ilvl w:val="0"/>
          <w:numId w:val="2"/>
        </w:numPr>
        <w:spacing w:after="80"/>
      </w:pPr>
      <w:r>
        <w:rPr>
          <w:rFonts w:ascii="Calibri" w:cs="Calibri" w:eastAsia="Calibri" w:hAnsi="Calibri"/>
          <w:sz w:val="22"/>
          <w:szCs w:val="22"/>
        </w:rPr>
        <w:t xml:space="preserve">No meta-analysis exists quantifying the statistical relationship between advisor team characteristics and post-transfer AUM retention; the Chapter 12 model is this dissertation's primary original contribution to fill this void.</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With the theoretical landscape mapped, Chapter 4 turns to the empirical foundation of the transfer: the demographic profile, wealth holdings, and behavioral tendencies of the generation currently holding the bulk of transferable wealth.</w:t>
      </w:r>
    </w:p>
    <w:p>
      <w:pPr>
        <w:pageBreakBefore/>
      </w:pPr>
    </w:p>
    <w:p>
      <w:pPr>
        <w:pStyle w:val="Heading1"/>
        <w:spacing w:after="60" w:before="0"/>
      </w:pPr>
      <w:r>
        <w:rPr>
          <w:rFonts w:ascii="Calibri" w:cs="Calibri" w:eastAsia="Calibri" w:hAnsi="Calibri"/>
          <w:b/>
          <w:bCs/>
          <w:caps/>
          <w:color w:val="01696F"/>
          <w:sz w:val="28"/>
          <w:szCs w:val="28"/>
        </w:rPr>
        <w:t xml:space="preserve">CHAPTER 4</w:t>
      </w:r>
    </w:p>
    <w:p>
      <w:pPr>
        <w:pStyle w:val="Heading2"/>
        <w:spacing w:after="80" w:before="60"/>
      </w:pPr>
      <w:r>
        <w:rPr>
          <w:rFonts w:ascii="Calibri" w:cs="Calibri" w:eastAsia="Calibri" w:hAnsi="Calibri"/>
          <w:b/>
          <w:bCs/>
          <w:color w:val="1B2A33"/>
          <w:sz w:val="36"/>
          <w:szCs w:val="36"/>
        </w:rPr>
        <w:t xml:space="preserve">Demographic Analysis of Wealth Transferors: Baby Boomers and the Silent Generation</w:t>
      </w:r>
    </w:p>
    <w:p>
      <w:pPr>
        <w:spacing w:after="240" w:before="0"/>
      </w:pPr>
      <w:r>
        <w:rPr>
          <w:rFonts w:ascii="Calibri" w:cs="Calibri" w:eastAsia="Calibri" w:hAnsi="Calibri"/>
          <w:i/>
          <w:iCs/>
          <w:color w:val="2C3E50"/>
          <w:sz w:val="24"/>
          <w:szCs w:val="24"/>
        </w:rPr>
        <w:t xml:space="preserve">Who Holds the Wealth, What They Value, and the Mechanics of Transfer</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Baby Boomers (born 1946–1964) and the Silent Generation (born 1928–1945) collectively hold approximately 66% of U.S. household wealth, and the pace at which this capital enters intergenerational transfer channels is now determined primarily by longevity trends, long-term care costs, and estate planning decisions — not by mortality alone.</w:t>
      </w:r>
    </w:p>
    <w:p>
      <w:pPr>
        <w:spacing w:after="120" w:line="276"/>
      </w:pPr>
      <w:r>
        <w:rPr>
          <w:rFonts w:ascii="Calibri" w:cs="Calibri" w:eastAsia="Calibri" w:hAnsi="Calibri"/>
          <w:sz w:val="22"/>
          <w:szCs w:val="22"/>
        </w:rPr>
        <w:t xml:space="preserve">The behavioral and attitudinal profile of this cohort — characterized by advisor loyalty, preference for in-person relationships, skepticism of technology-led advisory, and strong charitable intent — defines the service expectations that successor advisors must meet during wealth transfer events.</w:t>
      </w:r>
    </w:p>
    <w:p>
      <w:pPr>
        <w:spacing w:after="120" w:line="276"/>
      </w:pPr>
      <w:r>
        <w:rPr>
          <w:rFonts w:ascii="Calibri" w:cs="Calibri" w:eastAsia="Calibri" w:hAnsi="Calibri"/>
          <w:sz w:val="22"/>
          <w:szCs w:val="22"/>
        </w:rPr>
        <w:t xml:space="preserve">Understanding the Boomer wealth profile in granular detail (asset mix, geographic concentration, estate plan adoption rates, long-term care exposure) is prerequisite to forecasting both the timing and the net amount of wealth available for advisory capture.</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#5] "Intergenerational Wealth Transfers in Great Britain — Comparative Perspective" — Nolan et al. (2022)</w:t>
      </w:r>
    </w:p>
    <w:p>
      <w:pPr>
        <w:pStyle w:val="ListParagraph"/>
        <w:numPr>
          <w:ilvl w:val="0"/>
          <w:numId w:val="2"/>
        </w:numPr>
        <w:spacing w:after="80"/>
      </w:pPr>
      <w:r>
        <w:rPr>
          <w:rFonts w:ascii="Calibri" w:cs="Calibri" w:eastAsia="Calibri" w:hAnsi="Calibri"/>
          <w:sz w:val="22"/>
          <w:szCs w:val="22"/>
        </w:rPr>
        <w:t xml:space="preserve">[Paper #6] "Intergenerational Transfers, Differential Fertility, and Wealth Inequality" — Cooke et al. (2024)</w:t>
      </w:r>
    </w:p>
    <w:p>
      <w:pPr>
        <w:pStyle w:val="ListParagraph"/>
        <w:numPr>
          <w:ilvl w:val="0"/>
          <w:numId w:val="2"/>
        </w:numPr>
        <w:spacing w:after="80"/>
      </w:pPr>
      <w:r>
        <w:rPr>
          <w:rFonts w:ascii="Calibri" w:cs="Calibri" w:eastAsia="Calibri" w:hAnsi="Calibri"/>
          <w:sz w:val="22"/>
          <w:szCs w:val="22"/>
        </w:rPr>
        <w:t xml:space="preserve">[Paper #8] "Generations of Advantage: Multigenerational Correlations in Family Wealth" — Killewald &amp; Pfeffer (2018)</w:t>
      </w:r>
    </w:p>
    <w:p>
      <w:pPr>
        <w:pStyle w:val="ListParagraph"/>
        <w:numPr>
          <w:ilvl w:val="0"/>
          <w:numId w:val="2"/>
        </w:numPr>
        <w:spacing w:after="80"/>
      </w:pPr>
      <w:r>
        <w:rPr>
          <w:rFonts w:ascii="Calibri" w:cs="Calibri" w:eastAsia="Calibri" w:hAnsi="Calibri"/>
          <w:sz w:val="22"/>
          <w:szCs w:val="22"/>
        </w:rPr>
        <w:t xml:space="preserve">[Paper #10] "Mind the Gap: Inheritance and Inequality in Retirement Wealth" — Brenner &amp; Stolper (2020)</w:t>
      </w:r>
    </w:p>
    <w:p>
      <w:pPr>
        <w:pStyle w:val="ListParagraph"/>
        <w:numPr>
          <w:ilvl w:val="0"/>
          <w:numId w:val="2"/>
        </w:numPr>
        <w:spacing w:after="80"/>
      </w:pPr>
      <w:r>
        <w:rPr>
          <w:rFonts w:ascii="Calibri" w:cs="Calibri" w:eastAsia="Calibri" w:hAnsi="Calibri"/>
          <w:sz w:val="22"/>
          <w:szCs w:val="22"/>
        </w:rPr>
        <w:t xml:space="preserve">[Paper #15] "Inheritance, Gifts and the Accumulation of Wealth for Low-Income Households" — Nolan et al. (2021)</w:t>
      </w:r>
    </w:p>
    <w:p>
      <w:pPr>
        <w:pStyle w:val="ListParagraph"/>
        <w:numPr>
          <w:ilvl w:val="0"/>
          <w:numId w:val="2"/>
        </w:numPr>
        <w:spacing w:after="80"/>
      </w:pPr>
      <w:r>
        <w:rPr>
          <w:rFonts w:ascii="Calibri" w:cs="Calibri" w:eastAsia="Calibri" w:hAnsi="Calibri"/>
          <w:sz w:val="22"/>
          <w:szCs w:val="22"/>
        </w:rPr>
        <w:t xml:space="preserve">[Paper #63] "Wealth Management and Legal Structuring in Estate Planning" — Jackson</w:t>
      </w:r>
    </w:p>
    <w:p>
      <w:pPr>
        <w:pStyle w:val="ListParagraph"/>
        <w:numPr>
          <w:ilvl w:val="0"/>
          <w:numId w:val="2"/>
        </w:numPr>
        <w:spacing w:after="80"/>
      </w:pPr>
      <w:r>
        <w:rPr>
          <w:rFonts w:ascii="Calibri" w:cs="Calibri" w:eastAsia="Calibri" w:hAnsi="Calibri"/>
          <w:sz w:val="22"/>
          <w:szCs w:val="22"/>
        </w:rPr>
        <w:t xml:space="preserve">[Paper #65] "Wealth Transfer Tax Planning after the Tax Cuts and Jobs Act" — Miller &amp; Maine (2020)</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Federal Reserve SCF 2022: Baby Boomers hold ~$78 trillion in U.S. household net worth; Silent Generation an additional ~$18 trillion</w:t>
      </w:r>
    </w:p>
    <w:p>
      <w:pPr>
        <w:pStyle w:val="ListParagraph"/>
        <w:numPr>
          <w:ilvl w:val="0"/>
          <w:numId w:val="2"/>
        </w:numPr>
        <w:spacing w:after="80"/>
      </w:pPr>
      <w:r>
        <w:rPr>
          <w:rFonts w:ascii="Calibri" w:cs="Calibri" w:eastAsia="Calibri" w:hAnsi="Calibri"/>
          <w:sz w:val="22"/>
          <w:szCs w:val="22"/>
        </w:rPr>
        <w:t xml:space="preserve">Federal Reserve: Median Boomer household net worth ~$409,900 (2022 SCF); mean ~$1.83 million, reflecting strong right-skew</w:t>
      </w:r>
    </w:p>
    <w:p>
      <w:pPr>
        <w:pStyle w:val="ListParagraph"/>
        <w:numPr>
          <w:ilvl w:val="0"/>
          <w:numId w:val="2"/>
        </w:numPr>
        <w:spacing w:after="80"/>
      </w:pPr>
      <w:r>
        <w:rPr>
          <w:rFonts w:ascii="Calibri" w:cs="Calibri" w:eastAsia="Calibri" w:hAnsi="Calibri"/>
          <w:sz w:val="22"/>
          <w:szCs w:val="22"/>
        </w:rPr>
        <w:t xml:space="preserve">Cerulli Associates: ~70% of Boomer wealth concentrated in top 20% of households by income; mass-affluent Boomers ($500K–$2M) represent the largest volume cohort</w:t>
      </w:r>
    </w:p>
    <w:p>
      <w:pPr>
        <w:pStyle w:val="ListParagraph"/>
        <w:numPr>
          <w:ilvl w:val="0"/>
          <w:numId w:val="2"/>
        </w:numPr>
        <w:spacing w:after="80"/>
      </w:pPr>
      <w:r>
        <w:rPr>
          <w:rFonts w:ascii="Calibri" w:cs="Calibri" w:eastAsia="Calibri" w:hAnsi="Calibri"/>
          <w:sz w:val="22"/>
          <w:szCs w:val="22"/>
        </w:rPr>
        <w:t xml:space="preserve">LIMRA Long-Term Care Insurance Survey: ~70% of Americans over 65 will require some form of long-term care; average lifetime cost ~$172,000, directly eroding transferable estate values</w:t>
      </w:r>
    </w:p>
    <w:p>
      <w:pPr>
        <w:pStyle w:val="ListParagraph"/>
        <w:numPr>
          <w:ilvl w:val="0"/>
          <w:numId w:val="2"/>
        </w:numPr>
        <w:spacing w:after="80"/>
      </w:pPr>
      <w:r>
        <w:rPr>
          <w:rFonts w:ascii="Calibri" w:cs="Calibri" w:eastAsia="Calibri" w:hAnsi="Calibri"/>
          <w:sz w:val="22"/>
          <w:szCs w:val="22"/>
        </w:rPr>
        <w:t xml:space="preserve">IRS Statistics of Income: Federal estate tax returns filed declined from ~108,000 (2001) to ~6,200 (2022), primarily due to estate tax threshold increases; estate tax cliff risk re-emerges in 2026</w:t>
      </w:r>
    </w:p>
    <w:p>
      <w:pPr>
        <w:pStyle w:val="ListParagraph"/>
        <w:numPr>
          <w:ilvl w:val="0"/>
          <w:numId w:val="2"/>
        </w:numPr>
        <w:spacing w:after="80"/>
      </w:pPr>
      <w:r>
        <w:rPr>
          <w:rFonts w:ascii="Calibri" w:cs="Calibri" w:eastAsia="Calibri" w:hAnsi="Calibri"/>
          <w:sz w:val="22"/>
          <w:szCs w:val="22"/>
        </w:rPr>
        <w:t xml:space="preserve">AARP: Only ~33% of Americans over 55 have a will; fewer than 25% have a comprehensive estate plan with trust structures</w:t>
      </w:r>
    </w:p>
    <w:p>
      <w:pPr>
        <w:pStyle w:val="ListParagraph"/>
        <w:numPr>
          <w:ilvl w:val="0"/>
          <w:numId w:val="2"/>
        </w:numPr>
        <w:spacing w:after="80"/>
      </w:pPr>
      <w:r>
        <w:rPr>
          <w:rFonts w:ascii="Calibri" w:cs="Calibri" w:eastAsia="Calibri" w:hAnsi="Calibri"/>
          <w:sz w:val="22"/>
          <w:szCs w:val="22"/>
        </w:rPr>
        <w:t xml:space="preserve">Fidelity Investments Retirement Savings Assessment: Median Boomer retirement savings gap ~$187,000, meaning a significant portion of anticipated transfer will be consumed in retirement</w:t>
      </w:r>
    </w:p>
    <w:p>
      <w:pPr>
        <w:pStyle w:val="ListParagraph"/>
        <w:numPr>
          <w:ilvl w:val="0"/>
          <w:numId w:val="2"/>
        </w:numPr>
        <w:spacing w:after="80"/>
      </w:pPr>
      <w:r>
        <w:rPr>
          <w:rFonts w:ascii="Calibri" w:cs="Calibri" w:eastAsia="Calibri" w:hAnsi="Calibri"/>
          <w:sz w:val="22"/>
          <w:szCs w:val="22"/>
        </w:rPr>
        <w:t xml:space="preserve">UBS: 67% of Boomer-generation UHNW clients describe their primary advisor relationship as "personal friendship" — the highest rate of any generation</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Long-term care cost attrition on Boomer estates has not been modeled as a dynamic deduction from aggregate transfer estimates; most $84–$124 trillion figures are gross, not net of LTC spend-down.</w:t>
      </w:r>
    </w:p>
    <w:p>
      <w:pPr>
        <w:pStyle w:val="ListParagraph"/>
        <w:numPr>
          <w:ilvl w:val="0"/>
          <w:numId w:val="2"/>
        </w:numPr>
        <w:spacing w:after="80"/>
      </w:pPr>
      <w:r>
        <w:rPr>
          <w:rFonts w:ascii="Calibri" w:cs="Calibri" w:eastAsia="Calibri" w:hAnsi="Calibri"/>
          <w:sz w:val="22"/>
          <w:szCs w:val="22"/>
        </w:rPr>
        <w:t xml:space="preserve">Geographic variation in Boomer wealth concentration (e.g., Sun Belt vs. Rust Belt) is underrepresented in national transfer estimates; Chapter 6 addresses this, but the data assembly originates here.</w:t>
      </w:r>
    </w:p>
    <w:p>
      <w:pPr>
        <w:pStyle w:val="ListParagraph"/>
        <w:numPr>
          <w:ilvl w:val="0"/>
          <w:numId w:val="2"/>
        </w:numPr>
        <w:spacing w:after="80"/>
      </w:pPr>
      <w:r>
        <w:rPr>
          <w:rFonts w:ascii="Calibri" w:cs="Calibri" w:eastAsia="Calibri" w:hAnsi="Calibri"/>
          <w:sz w:val="22"/>
          <w:szCs w:val="22"/>
        </w:rPr>
        <w:t xml:space="preserve">The behavioral literature on Boomer advisor loyalty lacks longitudinal cohort tracking studies; most evidence is cross-sectional and may understate late-life switching behavior driven by cognitive decline or advisor mortality.</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Having characterized the generation releasing wealth, Chapter 5 profiles the generation receiving it — examining the investment behaviors, digital expectations, values orientations, and wealth management preferences of Gen X, Millennials, and Gen Z.</w:t>
      </w:r>
    </w:p>
    <w:p>
      <w:pPr>
        <w:pageBreakBefore/>
      </w:pPr>
    </w:p>
    <w:p>
      <w:pPr>
        <w:pStyle w:val="Heading1"/>
        <w:spacing w:after="60" w:before="0"/>
      </w:pPr>
      <w:r>
        <w:rPr>
          <w:rFonts w:ascii="Calibri" w:cs="Calibri" w:eastAsia="Calibri" w:hAnsi="Calibri"/>
          <w:b/>
          <w:bCs/>
          <w:caps/>
          <w:color w:val="01696F"/>
          <w:sz w:val="28"/>
          <w:szCs w:val="28"/>
        </w:rPr>
        <w:t xml:space="preserve">CHAPTER 5</w:t>
      </w:r>
    </w:p>
    <w:p>
      <w:pPr>
        <w:pStyle w:val="Heading2"/>
        <w:spacing w:after="80" w:before="60"/>
      </w:pPr>
      <w:r>
        <w:rPr>
          <w:rFonts w:ascii="Calibri" w:cs="Calibri" w:eastAsia="Calibri" w:hAnsi="Calibri"/>
          <w:b/>
          <w:bCs/>
          <w:color w:val="1B2A33"/>
          <w:sz w:val="36"/>
          <w:szCs w:val="36"/>
        </w:rPr>
        <w:t xml:space="preserve">Demographic Analysis of Wealth Recipients: Gen X, Millennials, and Gen Z</w:t>
      </w:r>
    </w:p>
    <w:p>
      <w:pPr>
        <w:spacing w:after="240" w:before="0"/>
      </w:pPr>
      <w:r>
        <w:rPr>
          <w:rFonts w:ascii="Calibri" w:cs="Calibri" w:eastAsia="Calibri" w:hAnsi="Calibri"/>
          <w:i/>
          <w:iCs/>
          <w:color w:val="2C3E50"/>
          <w:sz w:val="24"/>
          <w:szCs w:val="24"/>
        </w:rPr>
        <w:t xml:space="preserve">The Inheriting Generation — Behavioral Profiles, Financial Literacy, Investment Preferences, and Advisor Selection Criteria</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Gen X (born 1965–1980), Millennials (born 1981–1996), and Gen Z (born 1997–2012) do not constitute a monolithic "next generation" — they exhibit materially different financial literacy levels, investment philosophies, technology adoption curves, and trust frameworks relative to financial institutions and human advisors.</w:t>
      </w:r>
    </w:p>
    <w:p>
      <w:pPr>
        <w:spacing w:after="120" w:line="276"/>
      </w:pPr>
      <w:r>
        <w:rPr>
          <w:rFonts w:ascii="Calibri" w:cs="Calibri" w:eastAsia="Calibri" w:hAnsi="Calibri"/>
          <w:sz w:val="22"/>
          <w:szCs w:val="22"/>
        </w:rPr>
        <w:t xml:space="preserve">Millennials will be the primary inheritance recipients through 2035 and represent the most critical retention battleground for wealth managers, but their median wealth starting point remains substantially lower than prior generations at equivalent life stages, meaning inherited wealth will represent a disproportionate share of their investable assets and will trigger active advisor evaluation.</w:t>
      </w:r>
    </w:p>
    <w:p>
      <w:pPr>
        <w:spacing w:after="120" w:line="276"/>
      </w:pPr>
      <w:r>
        <w:rPr>
          <w:rFonts w:ascii="Calibri" w:cs="Calibri" w:eastAsia="Calibri" w:hAnsi="Calibri"/>
          <w:sz w:val="22"/>
          <w:szCs w:val="22"/>
        </w:rPr>
        <w:t xml:space="preserve">Gen Z investors, while not yet primary inheritance recipients, are shaping the competitive landscape by establishing early digital-first investment behaviors (robo-advisors, crypto, social media-influenced investing) that will define the default "table stakes" for advisory services within ten years.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#21] "Bridging Generational Wealth Gaps: Financial Planning Innovations for Millennials and Gen Z" — Nwoke (2025)</w:t>
      </w:r>
    </w:p>
    <w:p>
      <w:pPr>
        <w:pStyle w:val="ListParagraph"/>
        <w:numPr>
          <w:ilvl w:val="0"/>
          <w:numId w:val="2"/>
        </w:numPr>
        <w:spacing w:after="80"/>
      </w:pPr>
      <w:r>
        <w:rPr>
          <w:rFonts w:ascii="Calibri" w:cs="Calibri" w:eastAsia="Calibri" w:hAnsi="Calibri"/>
          <w:sz w:val="22"/>
          <w:szCs w:val="22"/>
        </w:rPr>
        <w:t xml:space="preserve">[Paper #22] "Gen Z and Investing: Social Media, Crypto, FOMO, and Family" — CFA Institute (2023)</w:t>
      </w:r>
    </w:p>
    <w:p>
      <w:pPr>
        <w:pStyle w:val="ListParagraph"/>
        <w:numPr>
          <w:ilvl w:val="0"/>
          <w:numId w:val="2"/>
        </w:numPr>
        <w:spacing w:after="80"/>
      </w:pPr>
      <w:r>
        <w:rPr>
          <w:rFonts w:ascii="Calibri" w:cs="Calibri" w:eastAsia="Calibri" w:hAnsi="Calibri"/>
          <w:sz w:val="22"/>
          <w:szCs w:val="22"/>
        </w:rPr>
        <w:t xml:space="preserve">[Paper #23] "Generational Differences in Investment Choices — Gen X, Millennials and Gen Z" — Siddiqui &amp; Singh (2026)</w:t>
      </w:r>
    </w:p>
    <w:p>
      <w:pPr>
        <w:pStyle w:val="ListParagraph"/>
        <w:numPr>
          <w:ilvl w:val="0"/>
          <w:numId w:val="2"/>
        </w:numPr>
        <w:spacing w:after="80"/>
      </w:pPr>
      <w:r>
        <w:rPr>
          <w:rFonts w:ascii="Calibri" w:cs="Calibri" w:eastAsia="Calibri" w:hAnsi="Calibri"/>
          <w:sz w:val="22"/>
          <w:szCs w:val="22"/>
        </w:rPr>
        <w:t xml:space="preserve">[Paper #24] "Generational Differences, Risk Tolerance, and Ownership of Financial Securities" — Naanwaab &amp; Antwi (2022)</w:t>
      </w:r>
    </w:p>
    <w:p>
      <w:pPr>
        <w:pStyle w:val="ListParagraph"/>
        <w:numPr>
          <w:ilvl w:val="0"/>
          <w:numId w:val="2"/>
        </w:numPr>
        <w:spacing w:after="80"/>
      </w:pPr>
      <w:r>
        <w:rPr>
          <w:rFonts w:ascii="Calibri" w:cs="Calibri" w:eastAsia="Calibri" w:hAnsi="Calibri"/>
          <w:sz w:val="22"/>
          <w:szCs w:val="22"/>
        </w:rPr>
        <w:t xml:space="preserve">[Paper #25] "The Effect of Digital Wealth Management Platforms on Millennials Investment Behaviour" — Nigam et al. (2025)</w:t>
      </w:r>
    </w:p>
    <w:p>
      <w:pPr>
        <w:pStyle w:val="ListParagraph"/>
        <w:numPr>
          <w:ilvl w:val="0"/>
          <w:numId w:val="2"/>
        </w:numPr>
        <w:spacing w:after="80"/>
      </w:pPr>
      <w:r>
        <w:rPr>
          <w:rFonts w:ascii="Calibri" w:cs="Calibri" w:eastAsia="Calibri" w:hAnsi="Calibri"/>
          <w:sz w:val="22"/>
          <w:szCs w:val="22"/>
        </w:rPr>
        <w:t xml:space="preserve">[Paper #28] "Building the 'Golden Generation': Investment Behavior in Gen Z and Millennial Women" — Latif et al. (2025)</w:t>
      </w:r>
    </w:p>
    <w:p>
      <w:pPr>
        <w:pStyle w:val="ListParagraph"/>
        <w:numPr>
          <w:ilvl w:val="0"/>
          <w:numId w:val="2"/>
        </w:numPr>
        <w:spacing w:after="80"/>
      </w:pPr>
      <w:r>
        <w:rPr>
          <w:rFonts w:ascii="Calibri" w:cs="Calibri" w:eastAsia="Calibri" w:hAnsi="Calibri"/>
          <w:sz w:val="22"/>
          <w:szCs w:val="22"/>
        </w:rPr>
        <w:t xml:space="preserve">[Paper #30] "UNDERSTANDING GEN Z INVESTMENT DECISIONS: Capital Market Literacy and Emotional Biases" — Rithmaya et al. (2023)</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Federal Reserve SCF 2022: Millennials hold ~$13.7 trillion in U.S. wealth (8.8% of total) vs. Boomers' ~$78 trillion (50%)</w:t>
      </w:r>
    </w:p>
    <w:p>
      <w:pPr>
        <w:pStyle w:val="ListParagraph"/>
        <w:numPr>
          <w:ilvl w:val="0"/>
          <w:numId w:val="2"/>
        </w:numPr>
        <w:spacing w:after="80"/>
      </w:pPr>
      <w:r>
        <w:rPr>
          <w:rFonts w:ascii="Calibri" w:cs="Calibri" w:eastAsia="Calibri" w:hAnsi="Calibri"/>
          <w:sz w:val="22"/>
          <w:szCs w:val="22"/>
        </w:rPr>
        <w:t xml:space="preserve">Federal Reserve: Median Millennial household net worth rose from ~$51,000 (2019) to ~$127,000 (2022) — a 149% jump, partly reflecting pandemic-era asset inflation</w:t>
      </w:r>
    </w:p>
    <w:p>
      <w:pPr>
        <w:pStyle w:val="ListParagraph"/>
        <w:numPr>
          <w:ilvl w:val="0"/>
          <w:numId w:val="2"/>
        </w:numPr>
        <w:spacing w:after="80"/>
      </w:pPr>
      <w:r>
        <w:rPr>
          <w:rFonts w:ascii="Calibri" w:cs="Calibri" w:eastAsia="Calibri" w:hAnsi="Calibri"/>
          <w:sz w:val="22"/>
          <w:szCs w:val="22"/>
        </w:rPr>
        <w:t xml:space="preserve">Cerulli Associates: Millennials expected to receive ~$27 trillion from Boomer parents by 2045</w:t>
      </w:r>
    </w:p>
    <w:p>
      <w:pPr>
        <w:pStyle w:val="ListParagraph"/>
        <w:numPr>
          <w:ilvl w:val="0"/>
          <w:numId w:val="2"/>
        </w:numPr>
        <w:spacing w:after="80"/>
      </w:pPr>
      <w:r>
        <w:rPr>
          <w:rFonts w:ascii="Calibri" w:cs="Calibri" w:eastAsia="Calibri" w:hAnsi="Calibri"/>
          <w:sz w:val="22"/>
          <w:szCs w:val="22"/>
        </w:rPr>
        <w:t xml:space="preserve">CFA Institute (Paper #22): 45% of Gen Z investors cite social media as their primary investment information source; 55% own cryptocurrency</w:t>
      </w:r>
    </w:p>
    <w:p>
      <w:pPr>
        <w:pStyle w:val="ListParagraph"/>
        <w:numPr>
          <w:ilvl w:val="0"/>
          <w:numId w:val="2"/>
        </w:numPr>
        <w:spacing w:after="80"/>
      </w:pPr>
      <w:r>
        <w:rPr>
          <w:rFonts w:ascii="Calibri" w:cs="Calibri" w:eastAsia="Calibri" w:hAnsi="Calibri"/>
          <w:sz w:val="22"/>
          <w:szCs w:val="22"/>
        </w:rPr>
        <w:t xml:space="preserve">Vanguard How America Saves 2024: Millennial 401(k) average balance ~$62,400; Gen X ~$182,100 — a $119,700 gap reflecting accumulation stage differences</w:t>
      </w:r>
    </w:p>
    <w:p>
      <w:pPr>
        <w:pStyle w:val="ListParagraph"/>
        <w:numPr>
          <w:ilvl w:val="0"/>
          <w:numId w:val="2"/>
        </w:numPr>
        <w:spacing w:after="80"/>
      </w:pPr>
      <w:r>
        <w:rPr>
          <w:rFonts w:ascii="Calibri" w:cs="Calibri" w:eastAsia="Calibri" w:hAnsi="Calibri"/>
          <w:sz w:val="22"/>
          <w:szCs w:val="22"/>
        </w:rPr>
        <w:t xml:space="preserve">Schwab Modern Wealth Survey 2024: 72% of Millennials say they would consider a robo-advisor for some portion of their portfolio; only 29% of Boomers say the same</w:t>
      </w:r>
    </w:p>
    <w:p>
      <w:pPr>
        <w:pStyle w:val="ListParagraph"/>
        <w:numPr>
          <w:ilvl w:val="0"/>
          <w:numId w:val="2"/>
        </w:numPr>
        <w:spacing w:after="80"/>
      </w:pPr>
      <w:r>
        <w:rPr>
          <w:rFonts w:ascii="Calibri" w:cs="Calibri" w:eastAsia="Calibri" w:hAnsi="Calibri"/>
          <w:sz w:val="22"/>
          <w:szCs w:val="22"/>
        </w:rPr>
        <w:t xml:space="preserve">Morgan Stanley Millennial &amp; Gen Z Survey: 85% of Millennials are interested in sustainable investing; 57% say ESG performance is a key factor in advisor selection</w:t>
      </w:r>
    </w:p>
    <w:p>
      <w:pPr>
        <w:pStyle w:val="ListParagraph"/>
        <w:numPr>
          <w:ilvl w:val="0"/>
          <w:numId w:val="2"/>
        </w:numPr>
        <w:spacing w:after="80"/>
      </w:pPr>
      <w:r>
        <w:rPr>
          <w:rFonts w:ascii="Calibri" w:cs="Calibri" w:eastAsia="Calibri" w:hAnsi="Calibri"/>
          <w:sz w:val="22"/>
          <w:szCs w:val="22"/>
        </w:rPr>
        <w:t xml:space="preserve">FINRA Foundation National Financial Capability Study: Millennial financial literacy score (2021) averaged 2.9/5 correct on a standardized 5-question test, below all prior generations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literature lacks granular data on how inheritance events specifically alter Millennial advisor-selection behavior — most studies examine investment behavior in the absence of a transfer event.</w:t>
      </w:r>
    </w:p>
    <w:p>
      <w:pPr>
        <w:pStyle w:val="ListParagraph"/>
        <w:numPr>
          <w:ilvl w:val="0"/>
          <w:numId w:val="2"/>
        </w:numPr>
        <w:spacing w:after="80"/>
      </w:pPr>
      <w:r>
        <w:rPr>
          <w:rFonts w:ascii="Calibri" w:cs="Calibri" w:eastAsia="Calibri" w:hAnsi="Calibri"/>
          <w:sz w:val="22"/>
          <w:szCs w:val="22"/>
        </w:rPr>
        <w:t xml:space="preserve">Gen X is systematically under-studied relative to Millennials despite controlling more current investable wealth and being first in the inheritance queue; original survey research targeting Gen X is identified as a dissertation gap.</w:t>
      </w:r>
    </w:p>
    <w:p>
      <w:pPr>
        <w:pStyle w:val="ListParagraph"/>
        <w:numPr>
          <w:ilvl w:val="0"/>
          <w:numId w:val="2"/>
        </w:numPr>
        <w:spacing w:after="80"/>
      </w:pPr>
      <w:r>
        <w:rPr>
          <w:rFonts w:ascii="Calibri" w:cs="Calibri" w:eastAsia="Calibri" w:hAnsi="Calibri"/>
          <w:sz w:val="22"/>
          <w:szCs w:val="22"/>
        </w:rPr>
        <w:t xml:space="preserve">The intersection of student debt burden (avg. $37,000 for Millennials), housing cost inflation, and inheritance timing creates a complex net-wealth profile that existing models do not capture adequately.</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Having analyzed who holds and who will receive transferable wealth at the individual level, Chapter 6 maps the spatial dimension — where in the United States (and globally) this transfer will be most concentrated and what implications geography carries for advisory firm strategy.</w:t>
      </w:r>
    </w:p>
    <w:p>
      <w:pPr>
        <w:pageBreakBefore/>
      </w:pPr>
    </w:p>
    <w:p>
      <w:pPr>
        <w:pStyle w:val="Heading1"/>
        <w:spacing w:after="60" w:before="0"/>
      </w:pPr>
      <w:r>
        <w:rPr>
          <w:rFonts w:ascii="Calibri" w:cs="Calibri" w:eastAsia="Calibri" w:hAnsi="Calibri"/>
          <w:b/>
          <w:bCs/>
          <w:caps/>
          <w:color w:val="01696F"/>
          <w:sz w:val="28"/>
          <w:szCs w:val="28"/>
        </w:rPr>
        <w:t xml:space="preserve">CHAPTER 6</w:t>
      </w:r>
    </w:p>
    <w:p>
      <w:pPr>
        <w:pStyle w:val="Heading2"/>
        <w:spacing w:after="80" w:before="60"/>
      </w:pPr>
      <w:r>
        <w:rPr>
          <w:rFonts w:ascii="Calibri" w:cs="Calibri" w:eastAsia="Calibri" w:hAnsi="Calibri"/>
          <w:b/>
          <w:bCs/>
          <w:color w:val="1B2A33"/>
          <w:sz w:val="36"/>
          <w:szCs w:val="36"/>
        </w:rPr>
        <w:t xml:space="preserve">Geography of the Wealth Transfer</w:t>
      </w:r>
    </w:p>
    <w:p>
      <w:pPr>
        <w:spacing w:after="240" w:before="0"/>
      </w:pPr>
      <w:r>
        <w:rPr>
          <w:rFonts w:ascii="Calibri" w:cs="Calibri" w:eastAsia="Calibri" w:hAnsi="Calibri"/>
          <w:i/>
          <w:iCs/>
          <w:color w:val="2C3E50"/>
          <w:sz w:val="24"/>
          <w:szCs w:val="24"/>
        </w:rPr>
        <w:t xml:space="preserve">Spatial Concentration, Migration Patterns, and Regional Advisory Market Opportunities</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Transferable wealth in the United States is not uniformly distributed: it is hyper-concentrated in a small number of metropolitan statistical areas (particularly New York, Los Angeles, San Francisco, Chicago, and Boston), with a rapidly growing secondary concentration in Sun Belt markets (Miami, Austin, Dallas, Phoenix, Nashville) driven by post-pandemic interstate migration of high-net-worth households.</w:t>
      </w:r>
    </w:p>
    <w:p>
      <w:pPr>
        <w:spacing w:after="120" w:line="276"/>
      </w:pPr>
      <w:r>
        <w:rPr>
          <w:rFonts w:ascii="Calibri" w:cs="Calibri" w:eastAsia="Calibri" w:hAnsi="Calibri"/>
          <w:sz w:val="22"/>
          <w:szCs w:val="22"/>
        </w:rPr>
        <w:t xml:space="preserve">This geographic concentration creates a winner-take-most dynamic in advisory markets: firms with deep local presence in wealth-concentration corridors, combined with digital reach for capturing inherited assets that migrate to lower-cost geographies, will have structural advantages over nationally distributed competitors with thin local relationships.</w:t>
      </w:r>
    </w:p>
    <w:p>
      <w:pPr>
        <w:spacing w:after="120" w:line="276"/>
      </w:pPr>
      <w:r>
        <w:rPr>
          <w:rFonts w:ascii="Calibri" w:cs="Calibri" w:eastAsia="Calibri" w:hAnsi="Calibri"/>
          <w:sz w:val="22"/>
          <w:szCs w:val="22"/>
        </w:rPr>
        <w:t xml:space="preserve">Internationally, comparable transfer dynamics are unfolding in the UK, Western Europe, Australia, and parts of East Asia, creating both competitive threats (global private banks competing in U.S. UHNW markets) and opportunities (U.S. RIAs expanding internationally to serve diaspora wealth)</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#11] "GEOWEALTH-US: Spatial Wealth Inequality Data for the United States, 1960–2020" — Connor et al. (2024)</w:t>
      </w:r>
    </w:p>
    <w:p>
      <w:pPr>
        <w:pStyle w:val="ListParagraph"/>
        <w:numPr>
          <w:ilvl w:val="0"/>
          <w:numId w:val="2"/>
        </w:numPr>
        <w:spacing w:after="80"/>
      </w:pPr>
      <w:r>
        <w:rPr>
          <w:rFonts w:ascii="Calibri" w:cs="Calibri" w:eastAsia="Calibri" w:hAnsi="Calibri"/>
          <w:sz w:val="22"/>
          <w:szCs w:val="22"/>
        </w:rPr>
        <w:t xml:space="preserve">[Paper #12] "The U.S. Wealth Distribution: Off the Charts" — Dvir-Djerassi &amp; Pfeffer (2022)</w:t>
      </w:r>
    </w:p>
    <w:p>
      <w:pPr>
        <w:pStyle w:val="ListParagraph"/>
        <w:numPr>
          <w:ilvl w:val="0"/>
          <w:numId w:val="2"/>
        </w:numPr>
        <w:spacing w:after="80"/>
      </w:pPr>
      <w:r>
        <w:rPr>
          <w:rFonts w:ascii="Calibri" w:cs="Calibri" w:eastAsia="Calibri" w:hAnsi="Calibri"/>
          <w:sz w:val="22"/>
          <w:szCs w:val="22"/>
        </w:rPr>
        <w:t xml:space="preserve">[Paper #13] "WEALTH INEQUALITY AND ACCUMULATION" — Killewald, Pfeffer &amp; Schachner (2017)</w:t>
      </w:r>
    </w:p>
    <w:p>
      <w:pPr>
        <w:pStyle w:val="ListParagraph"/>
        <w:numPr>
          <w:ilvl w:val="0"/>
          <w:numId w:val="2"/>
        </w:numPr>
        <w:spacing w:after="80"/>
      </w:pPr>
      <w:r>
        <w:rPr>
          <w:rFonts w:ascii="Calibri" w:cs="Calibri" w:eastAsia="Calibri" w:hAnsi="Calibri"/>
          <w:sz w:val="22"/>
          <w:szCs w:val="22"/>
        </w:rPr>
        <w:t xml:space="preserve">[Paper #20] "'Superstar Cities' &amp; the Generation of Durable Inequality" — Pierson &amp; Le Galès (2019)</w:t>
      </w:r>
    </w:p>
    <w:p>
      <w:pPr>
        <w:pStyle w:val="ListParagraph"/>
        <w:numPr>
          <w:ilvl w:val="0"/>
          <w:numId w:val="2"/>
        </w:numPr>
        <w:spacing w:after="80"/>
      </w:pPr>
      <w:r>
        <w:rPr>
          <w:rFonts w:ascii="Calibri" w:cs="Calibri" w:eastAsia="Calibri" w:hAnsi="Calibri"/>
          <w:sz w:val="22"/>
          <w:szCs w:val="22"/>
        </w:rPr>
        <w:t xml:space="preserve">[Paper #5] "Intergenerational Wealth Transfers in Great Britain — Comparative Perspective" — Nolan et al. (2022)</w:t>
      </w:r>
    </w:p>
    <w:p>
      <w:pPr>
        <w:pStyle w:val="ListParagraph"/>
        <w:numPr>
          <w:ilvl w:val="0"/>
          <w:numId w:val="2"/>
        </w:numPr>
        <w:spacing w:after="80"/>
      </w:pPr>
      <w:r>
        <w:rPr>
          <w:rFonts w:ascii="Calibri" w:cs="Calibri" w:eastAsia="Calibri" w:hAnsi="Calibri"/>
          <w:sz w:val="22"/>
          <w:szCs w:val="22"/>
        </w:rPr>
        <w:t xml:space="preserve">[Paper #16] "Household Wealth and Inheritance Transfers: Evidence from the Euro Area" — Spiteri &amp; von Brockdorff (2022)</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GEOWEALTH-US (Paper #11): Top 1% of ZIP codes contain ~36% of all U.S. household wealth; wealth Gini coefficient varies from 0.61 (Iowa) to 0.79 (New York) at the state level</w:t>
      </w:r>
    </w:p>
    <w:p>
      <w:pPr>
        <w:pStyle w:val="ListParagraph"/>
        <w:numPr>
          <w:ilvl w:val="0"/>
          <w:numId w:val="2"/>
        </w:numPr>
        <w:spacing w:after="80"/>
      </w:pPr>
      <w:r>
        <w:rPr>
          <w:rFonts w:ascii="Calibri" w:cs="Calibri" w:eastAsia="Calibri" w:hAnsi="Calibri"/>
          <w:sz w:val="22"/>
          <w:szCs w:val="22"/>
        </w:rPr>
        <w:t xml:space="preserve">Knight Frank Wealth Report 2024: U.S. UHNW population ($30M+ net worth) grew 7.8% YoY; NYC hosts ~345,600 millionaires, more than any other city globally</w:t>
      </w:r>
    </w:p>
    <w:p>
      <w:pPr>
        <w:pStyle w:val="ListParagraph"/>
        <w:numPr>
          <w:ilvl w:val="0"/>
          <w:numId w:val="2"/>
        </w:numPr>
        <w:spacing w:after="80"/>
      </w:pPr>
      <w:r>
        <w:rPr>
          <w:rFonts w:ascii="Calibri" w:cs="Calibri" w:eastAsia="Calibri" w:hAnsi="Calibri"/>
          <w:sz w:val="22"/>
          <w:szCs w:val="22"/>
        </w:rPr>
        <w:t xml:space="preserve">IRS Statistics of Income: States with highest estate tax filing rates: New York, California, Florida, Texas, Illinois — consistent with general wealth concentration</w:t>
      </w:r>
    </w:p>
    <w:p>
      <w:pPr>
        <w:pStyle w:val="ListParagraph"/>
        <w:numPr>
          <w:ilvl w:val="0"/>
          <w:numId w:val="2"/>
        </w:numPr>
        <w:spacing w:after="80"/>
      </w:pPr>
      <w:r>
        <w:rPr>
          <w:rFonts w:ascii="Calibri" w:cs="Calibri" w:eastAsia="Calibri" w:hAnsi="Calibri"/>
          <w:sz w:val="22"/>
          <w:szCs w:val="22"/>
        </w:rPr>
        <w:t xml:space="preserve">U.S. Census Bureau / USPS: Net domestic migration 2020–2023 shows ~500,000 high-income household moves from CA/NY/NJ to FL/TX/TN annually, representing $200B+ in AUM migration risk for incumbent advisors</w:t>
      </w:r>
    </w:p>
    <w:p>
      <w:pPr>
        <w:pStyle w:val="ListParagraph"/>
        <w:numPr>
          <w:ilvl w:val="0"/>
          <w:numId w:val="2"/>
        </w:numPr>
        <w:spacing w:after="80"/>
      </w:pPr>
      <w:r>
        <w:rPr>
          <w:rFonts w:ascii="Calibri" w:cs="Calibri" w:eastAsia="Calibri" w:hAnsi="Calibri"/>
          <w:sz w:val="22"/>
          <w:szCs w:val="22"/>
        </w:rPr>
        <w:t xml:space="preserve">Capgemini 2024: Asia-Pacific HNWI wealth grew 4.2% to $24.2 trillion; Hong Kong and Singapore each host &gt;100,000 millionaires within city-state footprints</w:t>
      </w:r>
    </w:p>
    <w:p>
      <w:pPr>
        <w:pStyle w:val="ListParagraph"/>
        <w:numPr>
          <w:ilvl w:val="0"/>
          <w:numId w:val="2"/>
        </w:numPr>
        <w:spacing w:after="80"/>
      </w:pPr>
      <w:r>
        <w:rPr>
          <w:rFonts w:ascii="Calibri" w:cs="Calibri" w:eastAsia="Calibri" w:hAnsi="Calibri"/>
          <w:sz w:val="22"/>
          <w:szCs w:val="22"/>
        </w:rPr>
        <w:t xml:space="preserve">UBS Global Wealth Report 2024: Switzerland, U.S., Hong Kong, Australia, Denmark have highest median wealth per adult ($168K–$685K range)</w:t>
      </w:r>
    </w:p>
    <w:p>
      <w:pPr>
        <w:pStyle w:val="ListParagraph"/>
        <w:numPr>
          <w:ilvl w:val="0"/>
          <w:numId w:val="2"/>
        </w:numPr>
        <w:spacing w:after="80"/>
      </w:pPr>
      <w:r>
        <w:rPr>
          <w:rFonts w:ascii="Calibri" w:cs="Calibri" w:eastAsia="Calibri" w:hAnsi="Calibri"/>
          <w:sz w:val="22"/>
          <w:szCs w:val="22"/>
        </w:rPr>
        <w:t xml:space="preserve">Federal Reserve: Rural-urban wealth gap has widened: median rural household net worth ~$165,000 vs. urban ~$280,000 (2022 SCF)</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No published study maps advisory firm branch density against projected intergenerational transfer dollar volume at the county or ZIP code level; this spatial analysis, using GEOWEALTH-US data combined with Cerulli market penetration data, is an original contribution.</w:t>
      </w:r>
    </w:p>
    <w:p>
      <w:pPr>
        <w:pStyle w:val="ListParagraph"/>
        <w:numPr>
          <w:ilvl w:val="0"/>
          <w:numId w:val="2"/>
        </w:numPr>
        <w:spacing w:after="80"/>
      </w:pPr>
      <w:r>
        <w:rPr>
          <w:rFonts w:ascii="Calibri" w:cs="Calibri" w:eastAsia="Calibri" w:hAnsi="Calibri"/>
          <w:sz w:val="22"/>
          <w:szCs w:val="22"/>
        </w:rPr>
        <w:t xml:space="preserve">The impact of short-term rental platforms and remote work on superstar city housing wealth (a key component of transferable estates) has not been incorporated into geographic transfer projections.</w:t>
      </w:r>
    </w:p>
    <w:p>
      <w:pPr>
        <w:pStyle w:val="ListParagraph"/>
        <w:numPr>
          <w:ilvl w:val="0"/>
          <w:numId w:val="2"/>
        </w:numPr>
        <w:spacing w:after="80"/>
      </w:pPr>
      <w:r>
        <w:rPr>
          <w:rFonts w:ascii="Calibri" w:cs="Calibri" w:eastAsia="Calibri" w:hAnsi="Calibri"/>
          <w:sz w:val="22"/>
          <w:szCs w:val="22"/>
        </w:rPr>
        <w:t xml:space="preserve">Cross-border wealth transfer mechanics — particularly for the ~45 million U.S. residents born abroad — are almost entirely absent from the literature despite representing a significant and growing share of UHNW transfer volume.</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Geography tells us where the assets are; Chapter 7 turns to the human dimension — how clients psychologically evaluate, select, and remain loyal to wealth management advisors, with particular attention to how these dynamics shift at wealth transfer events.</w:t>
      </w:r>
    </w:p>
    <w:p>
      <w:pPr>
        <w:pageBreakBefore/>
      </w:pPr>
    </w:p>
    <w:p>
      <w:pPr>
        <w:pStyle w:val="Heading1"/>
        <w:spacing w:after="60" w:before="0"/>
      </w:pPr>
      <w:r>
        <w:rPr>
          <w:rFonts w:ascii="Calibri" w:cs="Calibri" w:eastAsia="Calibri" w:hAnsi="Calibri"/>
          <w:b/>
          <w:bCs/>
          <w:caps/>
          <w:color w:val="01696F"/>
          <w:sz w:val="28"/>
          <w:szCs w:val="28"/>
        </w:rPr>
        <w:t xml:space="preserve">CHAPTER 7</w:t>
      </w:r>
    </w:p>
    <w:p>
      <w:pPr>
        <w:pStyle w:val="Heading2"/>
        <w:spacing w:after="80" w:before="60"/>
      </w:pPr>
      <w:r>
        <w:rPr>
          <w:rFonts w:ascii="Calibri" w:cs="Calibri" w:eastAsia="Calibri" w:hAnsi="Calibri"/>
          <w:b/>
          <w:bCs/>
          <w:color w:val="1B2A33"/>
          <w:sz w:val="36"/>
          <w:szCs w:val="36"/>
        </w:rPr>
        <w:t xml:space="preserve">Client Psychology and Advisor Selection</w:t>
      </w:r>
    </w:p>
    <w:p>
      <w:pPr>
        <w:spacing w:after="240" w:before="0"/>
      </w:pPr>
      <w:r>
        <w:rPr>
          <w:rFonts w:ascii="Calibri" w:cs="Calibri" w:eastAsia="Calibri" w:hAnsi="Calibri"/>
          <w:i/>
          <w:iCs/>
          <w:color w:val="2C3E50"/>
          <w:sz w:val="24"/>
          <w:szCs w:val="24"/>
        </w:rPr>
        <w:t xml:space="preserve">Trust Architecture, Behavioral Decision-Making, and the Psychology of Advisor Switching</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Advisor selection is not a rational optimization problem — it is a trust-formation process driven by social proof, perceived competence signals, emotional resonance, and psychological needs that vary systematically across wealth bands, generational cohorts, and life events such as inheritance.</w:t>
      </w:r>
    </w:p>
    <w:p>
      <w:pPr>
        <w:spacing w:after="120" w:line="276"/>
      </w:pPr>
      <w:r>
        <w:rPr>
          <w:rFonts w:ascii="Calibri" w:cs="Calibri" w:eastAsia="Calibri" w:hAnsi="Calibri"/>
          <w:sz w:val="22"/>
          <w:szCs w:val="22"/>
        </w:rPr>
        <w:t xml:space="preserve">The psychological dynamics of advisor switching at inheritance events follow a predictable pattern: a period of heightened evaluation (triggered by the death or incapacity of a parent), followed by either rapid re-commitment to an existing relationship if the heir has been proactively engaged, or a competitive selection process if the heir has been neglected.</w:t>
      </w:r>
    </w:p>
    <w:p>
      <w:pPr>
        <w:spacing w:after="120" w:line="276"/>
      </w:pPr>
      <w:r>
        <w:rPr>
          <w:rFonts w:ascii="Calibri" w:cs="Calibri" w:eastAsia="Calibri" w:hAnsi="Calibri"/>
          <w:sz w:val="22"/>
          <w:szCs w:val="22"/>
        </w:rPr>
        <w:t xml:space="preserve">Advisors and firms that understand these psychological triggers — and have built systematic heir-engagement protocols into their client service models — will dramatically outperform those relying on informal, relationship-by-relationship approaches.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#31] "The Augmented Advisor Model: GenAI Efficiency and Human Trust Boundaries" — Liu (2026)</w:t>
      </w:r>
    </w:p>
    <w:p>
      <w:pPr>
        <w:pStyle w:val="ListParagraph"/>
        <w:numPr>
          <w:ilvl w:val="0"/>
          <w:numId w:val="2"/>
        </w:numPr>
        <w:spacing w:after="80"/>
      </w:pPr>
      <w:r>
        <w:rPr>
          <w:rFonts w:ascii="Calibri" w:cs="Calibri" w:eastAsia="Calibri" w:hAnsi="Calibri"/>
          <w:sz w:val="22"/>
          <w:szCs w:val="22"/>
        </w:rPr>
        <w:t xml:space="preserve">[Paper #32] "Intelligent Automation vs. Hyper-Personalization for Wealth Clients" — Narayan (2025)</w:t>
      </w:r>
    </w:p>
    <w:p>
      <w:pPr>
        <w:pStyle w:val="ListParagraph"/>
        <w:numPr>
          <w:ilvl w:val="0"/>
          <w:numId w:val="2"/>
        </w:numPr>
        <w:spacing w:after="80"/>
      </w:pPr>
      <w:r>
        <w:rPr>
          <w:rFonts w:ascii="Calibri" w:cs="Calibri" w:eastAsia="Calibri" w:hAnsi="Calibri"/>
          <w:sz w:val="22"/>
          <w:szCs w:val="22"/>
        </w:rPr>
        <w:t xml:space="preserve">[Paper #33] "Simulation of Trust in Client-Wealth Management Advisor Relationships" — Bossomaier &amp; Standish (2008)</w:t>
      </w:r>
    </w:p>
    <w:p>
      <w:pPr>
        <w:pStyle w:val="ListParagraph"/>
        <w:numPr>
          <w:ilvl w:val="0"/>
          <w:numId w:val="2"/>
        </w:numPr>
        <w:spacing w:after="80"/>
      </w:pPr>
      <w:r>
        <w:rPr>
          <w:rFonts w:ascii="Calibri" w:cs="Calibri" w:eastAsia="Calibri" w:hAnsi="Calibri"/>
          <w:sz w:val="22"/>
          <w:szCs w:val="22"/>
        </w:rPr>
        <w:t xml:space="preserve">[Paper #34] "An Investigation on Customers' Selection on Wealth Management Services" — Chang &amp; Yao (2015)</w:t>
      </w:r>
    </w:p>
    <w:p>
      <w:pPr>
        <w:pStyle w:val="ListParagraph"/>
        <w:numPr>
          <w:ilvl w:val="0"/>
          <w:numId w:val="2"/>
        </w:numPr>
        <w:spacing w:after="80"/>
      </w:pPr>
      <w:r>
        <w:rPr>
          <w:rFonts w:ascii="Calibri" w:cs="Calibri" w:eastAsia="Calibri" w:hAnsi="Calibri"/>
          <w:sz w:val="22"/>
          <w:szCs w:val="22"/>
        </w:rPr>
        <w:t xml:space="preserve">[Paper #37] "Linking Psychological Needs, Financial Well-being and Loyalty" — Hoang et al. (2022)</w:t>
      </w:r>
    </w:p>
    <w:p>
      <w:pPr>
        <w:pStyle w:val="ListParagraph"/>
        <w:numPr>
          <w:ilvl w:val="0"/>
          <w:numId w:val="2"/>
        </w:numPr>
        <w:spacing w:after="80"/>
      </w:pPr>
      <w:r>
        <w:rPr>
          <w:rFonts w:ascii="Calibri" w:cs="Calibri" w:eastAsia="Calibri" w:hAnsi="Calibri"/>
          <w:sz w:val="22"/>
          <w:szCs w:val="22"/>
        </w:rPr>
        <w:t xml:space="preserve">[Paper #38] "When Advisors' True Intentions Are in Question" — Mackinger, Mühlberger &amp; Jonas (2017)</w:t>
      </w:r>
    </w:p>
    <w:p>
      <w:pPr>
        <w:pStyle w:val="ListParagraph"/>
        <w:numPr>
          <w:ilvl w:val="0"/>
          <w:numId w:val="2"/>
        </w:numPr>
        <w:spacing w:after="80"/>
      </w:pPr>
      <w:r>
        <w:rPr>
          <w:rFonts w:ascii="Calibri" w:cs="Calibri" w:eastAsia="Calibri" w:hAnsi="Calibri"/>
          <w:sz w:val="22"/>
          <w:szCs w:val="22"/>
        </w:rPr>
        <w:t xml:space="preserve">[Paper #39] "Preferences for Advisor Agreement and Accuracy" — Jaquiery &amp; Yeung (2024)</w:t>
      </w:r>
    </w:p>
    <w:p>
      <w:pPr>
        <w:pStyle w:val="ListParagraph"/>
        <w:numPr>
          <w:ilvl w:val="0"/>
          <w:numId w:val="2"/>
        </w:numPr>
        <w:spacing w:after="80"/>
      </w:pPr>
      <w:r>
        <w:rPr>
          <w:rFonts w:ascii="Calibri" w:cs="Calibri" w:eastAsia="Calibri" w:hAnsi="Calibri"/>
          <w:sz w:val="22"/>
          <w:szCs w:val="22"/>
        </w:rPr>
        <w:t xml:space="preserve">[Paper #40] "Getting Clients, Keeping Clients" — Richards</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Capgemini World Wealth Report 2024: 56% of HNWIs cite "trust and confidence in advisor" as the single most important selection criterion</w:t>
      </w:r>
    </w:p>
    <w:p>
      <w:pPr>
        <w:pStyle w:val="ListParagraph"/>
        <w:numPr>
          <w:ilvl w:val="0"/>
          <w:numId w:val="2"/>
        </w:numPr>
        <w:spacing w:after="80"/>
      </w:pPr>
      <w:r>
        <w:rPr>
          <w:rFonts w:ascii="Calibri" w:cs="Calibri" w:eastAsia="Calibri" w:hAnsi="Calibri"/>
          <w:sz w:val="22"/>
          <w:szCs w:val="22"/>
        </w:rPr>
        <w:t xml:space="preserve">Cerulli Associates: 46% of clients who inherit assets switch advisors within 12 months of the transfer event</w:t>
      </w:r>
    </w:p>
    <w:p>
      <w:pPr>
        <w:pStyle w:val="ListParagraph"/>
        <w:numPr>
          <w:ilvl w:val="0"/>
          <w:numId w:val="2"/>
        </w:numPr>
        <w:spacing w:after="80"/>
      </w:pPr>
      <w:r>
        <w:rPr>
          <w:rFonts w:ascii="Calibri" w:cs="Calibri" w:eastAsia="Calibri" w:hAnsi="Calibri"/>
          <w:sz w:val="22"/>
          <w:szCs w:val="22"/>
        </w:rPr>
        <w:t xml:space="preserve">EY Global Wealth Management Research 2023: 74% of inheritors who switch advisors do so because the inherited advisor "never reached out to me personally"</w:t>
      </w:r>
    </w:p>
    <w:p>
      <w:pPr>
        <w:pStyle w:val="ListParagraph"/>
        <w:numPr>
          <w:ilvl w:val="0"/>
          <w:numId w:val="2"/>
        </w:numPr>
        <w:spacing w:after="80"/>
      </w:pPr>
      <w:r>
        <w:rPr>
          <w:rFonts w:ascii="Calibri" w:cs="Calibri" w:eastAsia="Calibri" w:hAnsi="Calibri"/>
          <w:sz w:val="22"/>
          <w:szCs w:val="22"/>
        </w:rPr>
        <w:t xml:space="preserve">Vanguard Advisor's Alpha study: Behavioral coaching by an advisor adds ~150 basis points of net annual return for clients who would otherwise panic-sell</w:t>
      </w:r>
    </w:p>
    <w:p>
      <w:pPr>
        <w:pStyle w:val="ListParagraph"/>
        <w:numPr>
          <w:ilvl w:val="0"/>
          <w:numId w:val="2"/>
        </w:numPr>
        <w:spacing w:after="80"/>
      </w:pPr>
      <w:r>
        <w:rPr>
          <w:rFonts w:ascii="Calibri" w:cs="Calibri" w:eastAsia="Calibri" w:hAnsi="Calibri"/>
          <w:sz w:val="22"/>
          <w:szCs w:val="22"/>
        </w:rPr>
        <w:t xml:space="preserve">J.D. Power U.S. Full-Service Investor Satisfaction Study 2024: Advisor proactive outreach scores correlate at r=0.74 with client retention scores</w:t>
      </w:r>
    </w:p>
    <w:p>
      <w:pPr>
        <w:pStyle w:val="ListParagraph"/>
        <w:numPr>
          <w:ilvl w:val="0"/>
          <w:numId w:val="2"/>
        </w:numPr>
        <w:spacing w:after="80"/>
      </w:pPr>
      <w:r>
        <w:rPr>
          <w:rFonts w:ascii="Calibri" w:cs="Calibri" w:eastAsia="Calibri" w:hAnsi="Calibri"/>
          <w:sz w:val="22"/>
          <w:szCs w:val="22"/>
        </w:rPr>
        <w:t xml:space="preserve">Schwab Advisor Services: 62% of next-gen clients (under 45) say their ideal advisor "feels more like a coach than a salesperson"</w:t>
      </w:r>
    </w:p>
    <w:p>
      <w:pPr>
        <w:pStyle w:val="ListParagraph"/>
        <w:numPr>
          <w:ilvl w:val="0"/>
          <w:numId w:val="2"/>
        </w:numPr>
        <w:spacing w:after="80"/>
      </w:pPr>
      <w:r>
        <w:rPr>
          <w:rFonts w:ascii="Calibri" w:cs="Calibri" w:eastAsia="Calibri" w:hAnsi="Calibri"/>
          <w:sz w:val="22"/>
          <w:szCs w:val="22"/>
        </w:rPr>
        <w:t xml:space="preserve">PwC Global Wealth Management Consumer Survey: 42% of UHNW clients consider multiple advisors simultaneously before making a selection decision; 31% report using social media to research advisors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trust simulation literature (Paper #33) uses agent-based models that have not been validated against actual advisor attrition data; empirical calibration using CRM data from cooperating advisory firms would significantly advance the field.</w:t>
      </w:r>
    </w:p>
    <w:p>
      <w:pPr>
        <w:pStyle w:val="ListParagraph"/>
        <w:numPr>
          <w:ilvl w:val="0"/>
          <w:numId w:val="2"/>
        </w:numPr>
        <w:spacing w:after="80"/>
      </w:pPr>
      <w:r>
        <w:rPr>
          <w:rFonts w:ascii="Calibri" w:cs="Calibri" w:eastAsia="Calibri" w:hAnsi="Calibri"/>
          <w:sz w:val="22"/>
          <w:szCs w:val="22"/>
        </w:rPr>
        <w:t xml:space="preserve">Gender dynamics in advisor-client trust are under-researched: female inheritors represent a growing share of transfer recipients (as women outlive partners) and exhibit systematically different advisor-selection criteria not captured in the current literature.</w:t>
      </w:r>
    </w:p>
    <w:p>
      <w:pPr>
        <w:pStyle w:val="ListParagraph"/>
        <w:numPr>
          <w:ilvl w:val="0"/>
          <w:numId w:val="2"/>
        </w:numPr>
        <w:spacing w:after="80"/>
      </w:pPr>
      <w:r>
        <w:rPr>
          <w:rFonts w:ascii="Calibri" w:cs="Calibri" w:eastAsia="Calibri" w:hAnsi="Calibri"/>
          <w:sz w:val="22"/>
          <w:szCs w:val="22"/>
        </w:rPr>
        <w:t xml:space="preserve">The psychology of multi-advisor households — increasingly common among UHNW inheritors — has not been studied in the context of inheritance-triggered advisor consolidation decisions.</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Understanding client psychology clarifies the demand side of the equation; Chapter 8 examines the supply side — how advisor compensation structures have evolved and how fee model alignment (or misalignment) with next-generation client preferences will determine competitive outcomes.</w:t>
      </w:r>
    </w:p>
    <w:p>
      <w:pPr>
        <w:pageBreakBefore/>
      </w:pPr>
    </w:p>
    <w:p>
      <w:pPr>
        <w:pStyle w:val="Heading1"/>
        <w:spacing w:after="60" w:before="0"/>
      </w:pPr>
      <w:r>
        <w:rPr>
          <w:rFonts w:ascii="Calibri" w:cs="Calibri" w:eastAsia="Calibri" w:hAnsi="Calibri"/>
          <w:b/>
          <w:bCs/>
          <w:caps/>
          <w:color w:val="01696F"/>
          <w:sz w:val="28"/>
          <w:szCs w:val="28"/>
        </w:rPr>
        <w:t xml:space="preserve">CHAPTER 8</w:t>
      </w:r>
    </w:p>
    <w:p>
      <w:pPr>
        <w:pStyle w:val="Heading2"/>
        <w:spacing w:after="80" w:before="60"/>
      </w:pPr>
      <w:r>
        <w:rPr>
          <w:rFonts w:ascii="Calibri" w:cs="Calibri" w:eastAsia="Calibri" w:hAnsi="Calibri"/>
          <w:b/>
          <w:bCs/>
          <w:color w:val="1B2A33"/>
          <w:sz w:val="36"/>
          <w:szCs w:val="36"/>
        </w:rPr>
        <w:t xml:space="preserve">History and Evolution of Wealth Management Fee Models</w:t>
      </w:r>
    </w:p>
    <w:p>
      <w:pPr>
        <w:spacing w:after="240" w:before="0"/>
      </w:pPr>
      <w:r>
        <w:rPr>
          <w:rFonts w:ascii="Calibri" w:cs="Calibri" w:eastAsia="Calibri" w:hAnsi="Calibri"/>
          <w:i/>
          <w:iCs/>
          <w:color w:val="2C3E50"/>
          <w:sz w:val="24"/>
          <w:szCs w:val="24"/>
        </w:rPr>
        <w:t xml:space="preserve">From Commission-Based Brokerage to AUM Fees, Subscription Pricing, and the Fiduciary Imperative</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dominant AUM-based fee model in wealth management — which charges a percentage of assets under advisement — creates structural misalignments with next-generation client preferences and will face intensifying pressure from both regulatory forces (DOL fiduciary rule evolution) and competitive disruption from subscription-based and flat-fee alternatives pioneered by independent RIAs and fintech platforms.</w:t>
      </w:r>
    </w:p>
    <w:p>
      <w:pPr>
        <w:spacing w:after="120" w:line="276"/>
      </w:pPr>
      <w:r>
        <w:rPr>
          <w:rFonts w:ascii="Calibri" w:cs="Calibri" w:eastAsia="Calibri" w:hAnsi="Calibri"/>
          <w:sz w:val="22"/>
          <w:szCs w:val="22"/>
        </w:rPr>
        <w:t xml:space="preserve">The historical arc from commission-based models (pre-1990s) through wrap-fee programs (1990s–2000s) to AUM-based fee-only advisory (2000s–present) reflects a consistent trajectory toward fee transparency and alignment — a trend that is now accelerating under Millennial demand for fairness and robo-advisor pricing pressure.</w:t>
      </w:r>
    </w:p>
    <w:p>
      <w:pPr>
        <w:spacing w:after="120" w:line="276"/>
      </w:pPr>
      <w:r>
        <w:rPr>
          <w:rFonts w:ascii="Calibri" w:cs="Calibri" w:eastAsia="Calibri" w:hAnsi="Calibri"/>
          <w:sz w:val="22"/>
          <w:szCs w:val="22"/>
        </w:rPr>
        <w:t xml:space="preserve">The winning advisory model of the future will require a multi-fee architecture — retainer/subscription for younger accumulating clients, AUM-based for wealth-holding clients, and outcome-based or tax-minimization-linked fees for transfer-stage planning — rather than a one-size-fits-all pricing structure.</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#57] "AUM-Based Compensation and Financial Advice" — Turner &amp; Giordano (2020)</w:t>
      </w:r>
    </w:p>
    <w:p>
      <w:pPr>
        <w:pStyle w:val="ListParagraph"/>
        <w:numPr>
          <w:ilvl w:val="0"/>
          <w:numId w:val="2"/>
        </w:numPr>
        <w:spacing w:after="80"/>
      </w:pPr>
      <w:r>
        <w:rPr>
          <w:rFonts w:ascii="Calibri" w:cs="Calibri" w:eastAsia="Calibri" w:hAnsi="Calibri"/>
          <w:sz w:val="22"/>
          <w:szCs w:val="22"/>
        </w:rPr>
        <w:t xml:space="preserve">[Paper #58] "Advisor Compensation" — Anderson et al. (2023)</w:t>
      </w:r>
    </w:p>
    <w:p>
      <w:pPr>
        <w:pStyle w:val="ListParagraph"/>
        <w:numPr>
          <w:ilvl w:val="0"/>
          <w:numId w:val="2"/>
        </w:numPr>
        <w:spacing w:after="80"/>
      </w:pPr>
      <w:r>
        <w:rPr>
          <w:rFonts w:ascii="Calibri" w:cs="Calibri" w:eastAsia="Calibri" w:hAnsi="Calibri"/>
          <w:sz w:val="22"/>
          <w:szCs w:val="22"/>
        </w:rPr>
        <w:t xml:space="preserve">[Paper #59] "Finding the Value of Financial Advice — A Dual Structure Approach" — Fraser, Payne &amp; Schatzle</w:t>
      </w:r>
    </w:p>
    <w:p>
      <w:pPr>
        <w:pStyle w:val="ListParagraph"/>
        <w:numPr>
          <w:ilvl w:val="0"/>
          <w:numId w:val="2"/>
        </w:numPr>
        <w:spacing w:after="80"/>
      </w:pPr>
      <w:r>
        <w:rPr>
          <w:rFonts w:ascii="Calibri" w:cs="Calibri" w:eastAsia="Calibri" w:hAnsi="Calibri"/>
          <w:sz w:val="22"/>
          <w:szCs w:val="22"/>
        </w:rPr>
        <w:t xml:space="preserve">[Paper #60] "Investment AUM Fee Costs: Evaluating a Simple Formula" — Levine (2023)</w:t>
      </w:r>
    </w:p>
    <w:p>
      <w:pPr>
        <w:pStyle w:val="ListParagraph"/>
        <w:numPr>
          <w:ilvl w:val="0"/>
          <w:numId w:val="2"/>
        </w:numPr>
        <w:spacing w:after="80"/>
      </w:pPr>
      <w:r>
        <w:rPr>
          <w:rFonts w:ascii="Calibri" w:cs="Calibri" w:eastAsia="Calibri" w:hAnsi="Calibri"/>
          <w:sz w:val="22"/>
          <w:szCs w:val="22"/>
        </w:rPr>
        <w:t xml:space="preserve">[Paper #61] "Competing for Consumers in Financial Markets Under a Fee-Based Compensation System"</w:t>
      </w:r>
    </w:p>
    <w:p>
      <w:pPr>
        <w:pStyle w:val="ListParagraph"/>
        <w:numPr>
          <w:ilvl w:val="0"/>
          <w:numId w:val="2"/>
        </w:numPr>
        <w:spacing w:after="80"/>
      </w:pPr>
      <w:r>
        <w:rPr>
          <w:rFonts w:ascii="Calibri" w:cs="Calibri" w:eastAsia="Calibri" w:hAnsi="Calibri"/>
          <w:sz w:val="22"/>
          <w:szCs w:val="22"/>
        </w:rPr>
        <w:t xml:space="preserve">[Paper #62] "Independent Financial Adviser (IFA)-Based Brand Equity Pyramid" — Ensor et al. (2020)</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Associates: Average AUM advisory fee declined from 101 bps (2014) to 88 bps (2023) for accounts &gt;$1M; mass-affluent accounts ($100K–$500K) still commanded 102–125 bps</w:t>
      </w:r>
    </w:p>
    <w:p>
      <w:pPr>
        <w:pStyle w:val="ListParagraph"/>
        <w:numPr>
          <w:ilvl w:val="0"/>
          <w:numId w:val="2"/>
        </w:numPr>
        <w:spacing w:after="80"/>
      </w:pPr>
      <w:r>
        <w:rPr>
          <w:rFonts w:ascii="Calibri" w:cs="Calibri" w:eastAsia="Calibri" w:hAnsi="Calibri"/>
          <w:sz w:val="22"/>
          <w:szCs w:val="22"/>
        </w:rPr>
        <w:t xml:space="preserve">Fidelity Investments RIA Benchmarking Study 2023: 28% of RIAs now offer a subscription or retainer fee option; average annual retainer ~$4,200 for mass-affluent clients</w:t>
      </w:r>
    </w:p>
    <w:p>
      <w:pPr>
        <w:pStyle w:val="ListParagraph"/>
        <w:numPr>
          <w:ilvl w:val="0"/>
          <w:numId w:val="2"/>
        </w:numPr>
        <w:spacing w:after="80"/>
      </w:pPr>
      <w:r>
        <w:rPr>
          <w:rFonts w:ascii="Calibri" w:cs="Calibri" w:eastAsia="Calibri" w:hAnsi="Calibri"/>
          <w:sz w:val="22"/>
          <w:szCs w:val="22"/>
        </w:rPr>
        <w:t xml:space="preserve">Kitces Research on Financial Planning: Subscription-based advisory AUM grew 150%+ 2020–2023; Facet Wealth, Savant, and XY Planning Network lead adoption</w:t>
      </w:r>
    </w:p>
    <w:p>
      <w:pPr>
        <w:pStyle w:val="ListParagraph"/>
        <w:numPr>
          <w:ilvl w:val="0"/>
          <w:numId w:val="2"/>
        </w:numPr>
        <w:spacing w:after="80"/>
      </w:pPr>
      <w:r>
        <w:rPr>
          <w:rFonts w:ascii="Calibri" w:cs="Calibri" w:eastAsia="Calibri" w:hAnsi="Calibri"/>
          <w:sz w:val="22"/>
          <w:szCs w:val="22"/>
        </w:rPr>
        <w:t xml:space="preserve">BlackRock iRetire: Total estimated cost of AUM-based advice over a 30-year retirement, on a $1M portfolio, approaches $340,000 at 100 bps vs. $45,000 for a flat-fee model — a figure increasingly visible to fee-savvy Millennial inheritors</w:t>
      </w:r>
    </w:p>
    <w:p>
      <w:pPr>
        <w:pStyle w:val="ListParagraph"/>
        <w:numPr>
          <w:ilvl w:val="0"/>
          <w:numId w:val="2"/>
        </w:numPr>
        <w:spacing w:after="80"/>
      </w:pPr>
      <w:r>
        <w:rPr>
          <w:rFonts w:ascii="Calibri" w:cs="Calibri" w:eastAsia="Calibri" w:hAnsi="Calibri"/>
          <w:sz w:val="22"/>
          <w:szCs w:val="22"/>
        </w:rPr>
        <w:t xml:space="preserve">SEC Form ADV data: ~13,000 registered investment advisers as of 2024; 96.4% charge AUM-based fees; only 11% offer subscription pricing</w:t>
      </w:r>
    </w:p>
    <w:p>
      <w:pPr>
        <w:pStyle w:val="ListParagraph"/>
        <w:numPr>
          <w:ilvl w:val="0"/>
          <w:numId w:val="2"/>
        </w:numPr>
        <w:spacing w:after="80"/>
      </w:pPr>
      <w:r>
        <w:rPr>
          <w:rFonts w:ascii="Calibri" w:cs="Calibri" w:eastAsia="Calibri" w:hAnsi="Calibri"/>
          <w:sz w:val="22"/>
          <w:szCs w:val="22"/>
        </w:rPr>
        <w:t xml:space="preserve">Vanguard Personal Advisor Services: Charges 30 bps with human advisor access; Betterment Premium: 40 bps; Schwab Intelligent Portfolios Premium: $30/month — creating visible pricing anchors for next-gen clients</w:t>
      </w:r>
    </w:p>
    <w:p>
      <w:pPr>
        <w:pStyle w:val="ListParagraph"/>
        <w:numPr>
          <w:ilvl w:val="0"/>
          <w:numId w:val="2"/>
        </w:numPr>
        <w:spacing w:after="80"/>
      </w:pPr>
      <w:r>
        <w:rPr>
          <w:rFonts w:ascii="Calibri" w:cs="Calibri" w:eastAsia="Calibri" w:hAnsi="Calibri"/>
          <w:sz w:val="22"/>
          <w:szCs w:val="22"/>
        </w:rPr>
        <w:t xml:space="preserve">DOL Fiduciary Rule (2024 Final Rule): Expanded definition of investment advice fiduciary; estimated compliance cost $3.3 billion/year industry-wide, disproportionately affecting commission-based models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No published study has modeled the revenue impact on mid-size advisory firms of a full transition from AUM-only to multi-tier fee architecture across a five-year horizon; original financial modeling here is a dissertation contribution.</w:t>
      </w:r>
    </w:p>
    <w:p>
      <w:pPr>
        <w:pStyle w:val="ListParagraph"/>
        <w:numPr>
          <w:ilvl w:val="0"/>
          <w:numId w:val="2"/>
        </w:numPr>
        <w:spacing w:after="80"/>
      </w:pPr>
      <w:r>
        <w:rPr>
          <w:rFonts w:ascii="Calibri" w:cs="Calibri" w:eastAsia="Calibri" w:hAnsi="Calibri"/>
          <w:sz w:val="22"/>
          <w:szCs w:val="22"/>
        </w:rPr>
        <w:t xml:space="preserve">The behavioral economics of fee salience — whether clients who pay fees quarterly vs. at market events perceive value differently — is studied in the banking context but not in wealth management specifically.</w:t>
      </w:r>
    </w:p>
    <w:p>
      <w:pPr>
        <w:pStyle w:val="ListParagraph"/>
        <w:numPr>
          <w:ilvl w:val="0"/>
          <w:numId w:val="2"/>
        </w:numPr>
        <w:spacing w:after="80"/>
      </w:pPr>
      <w:r>
        <w:rPr>
          <w:rFonts w:ascii="Calibri" w:cs="Calibri" w:eastAsia="Calibri" w:hAnsi="Calibri"/>
          <w:sz w:val="22"/>
          <w:szCs w:val="22"/>
        </w:rPr>
        <w:t xml:space="preserve">The interaction between fee model and client loyalty during inheritance transitions (does a retainer client feel more "owned" vs. an AUM client?) has not been empirically tested; this is a survey research opportunity.</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Fee model evolution does not occur in a vacuum — it is driven in large part by technological disruption; Chapter 9 traces the trajectory of technology in wealth management from the personal computer era through the internet boom, robo-advisory, and the current generative AI inflection point.</w:t>
      </w:r>
    </w:p>
    <w:p>
      <w:pPr>
        <w:pageBreakBefore/>
      </w:pPr>
    </w:p>
    <w:p>
      <w:pPr>
        <w:pStyle w:val="Heading1"/>
        <w:spacing w:after="60" w:before="0"/>
      </w:pPr>
      <w:r>
        <w:rPr>
          <w:rFonts w:ascii="Calibri" w:cs="Calibri" w:eastAsia="Calibri" w:hAnsi="Calibri"/>
          <w:b/>
          <w:bCs/>
          <w:caps/>
          <w:color w:val="01696F"/>
          <w:sz w:val="28"/>
          <w:szCs w:val="28"/>
        </w:rPr>
        <w:t xml:space="preserve">CHAPTER 9</w:t>
      </w:r>
    </w:p>
    <w:p>
      <w:pPr>
        <w:pStyle w:val="Heading2"/>
        <w:spacing w:after="80" w:before="60"/>
      </w:pPr>
      <w:r>
        <w:rPr>
          <w:rFonts w:ascii="Calibri" w:cs="Calibri" w:eastAsia="Calibri" w:hAnsi="Calibri"/>
          <w:b/>
          <w:bCs/>
          <w:color w:val="1B2A33"/>
          <w:sz w:val="36"/>
          <w:szCs w:val="36"/>
        </w:rPr>
        <w:t xml:space="preserve">Technology, the Internet, and AI: Then, Now, and Next</w:t>
      </w:r>
    </w:p>
    <w:p>
      <w:pPr>
        <w:spacing w:after="240" w:before="0"/>
      </w:pPr>
      <w:r>
        <w:rPr>
          <w:rFonts w:ascii="Calibri" w:cs="Calibri" w:eastAsia="Calibri" w:hAnsi="Calibri"/>
          <w:i/>
          <w:iCs/>
          <w:color w:val="2C3E50"/>
          <w:sz w:val="24"/>
          <w:szCs w:val="24"/>
        </w:rPr>
        <w:t xml:space="preserve">The Three Waves of Digital Disruption in Wealth Management and the GenAI Transformation</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Wealth management technology has evolved through three distinct waves: (1) the digitization of back-office operations (1980s–2000s), (2) the internet and online brokerage democratization wave (1995–2015) that created direct-to-consumer investing and the robo-advisor category, and (3) the current AI/generative AI wave (2020–present) that is beginning to automate personalized financial planning, compliance monitoring, and client communication at scale.</w:t>
      </w:r>
    </w:p>
    <w:p>
      <w:pPr>
        <w:spacing w:after="120" w:line="276"/>
      </w:pPr>
      <w:r>
        <w:rPr>
          <w:rFonts w:ascii="Calibri" w:cs="Calibri" w:eastAsia="Calibri" w:hAnsi="Calibri"/>
          <w:sz w:val="22"/>
          <w:szCs w:val="22"/>
        </w:rPr>
        <w:t xml:space="preserve">Each wave has redefined the minimum viable advisor value proposition: after wave one, advisors needed to be relationship managers; after wave two, they needed to add fiduciary planning value; after wave three, they must become AI-augmented orchestrators capable of delivering hyper-personalized, real-time, compliant advice at a cost structure competitive with sub-50 bps digital-first providers.</w:t>
      </w:r>
    </w:p>
    <w:p>
      <w:pPr>
        <w:spacing w:after="120" w:line="276"/>
      </w:pPr>
      <w:r>
        <w:rPr>
          <w:rFonts w:ascii="Calibri" w:cs="Calibri" w:eastAsia="Calibri" w:hAnsi="Calibri"/>
          <w:sz w:val="22"/>
          <w:szCs w:val="22"/>
        </w:rPr>
        <w:t xml:space="preserve">The firms that win during the wealth transfer will not be those that resist AI adoption but those that deploy it in the specific areas where it creates the highest trust-compatible leverage: client discovery, data aggregation, estate plan scenario modeling, tax optimization, and heir engagement protocols.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#41] "Artificial Intelligence in Wealth Management: Transforming the Future of Financial Advisory Services" — Bhardwaj (2025)</w:t>
      </w:r>
    </w:p>
    <w:p>
      <w:pPr>
        <w:pStyle w:val="ListParagraph"/>
        <w:numPr>
          <w:ilvl w:val="0"/>
          <w:numId w:val="2"/>
        </w:numPr>
        <w:spacing w:after="80"/>
      </w:pPr>
      <w:r>
        <w:rPr>
          <w:rFonts w:ascii="Calibri" w:cs="Calibri" w:eastAsia="Calibri" w:hAnsi="Calibri"/>
          <w:sz w:val="22"/>
          <w:szCs w:val="22"/>
        </w:rPr>
        <w:t xml:space="preserve">[Paper #42] "The Future of Human-AI Collaboration in Wealth Management" — Bandi (2025)</w:t>
      </w:r>
    </w:p>
    <w:p>
      <w:pPr>
        <w:pStyle w:val="ListParagraph"/>
        <w:numPr>
          <w:ilvl w:val="0"/>
          <w:numId w:val="2"/>
        </w:numPr>
        <w:spacing w:after="80"/>
      </w:pPr>
      <w:r>
        <w:rPr>
          <w:rFonts w:ascii="Calibri" w:cs="Calibri" w:eastAsia="Calibri" w:hAnsi="Calibri"/>
          <w:sz w:val="22"/>
          <w:szCs w:val="22"/>
        </w:rPr>
        <w:t xml:space="preserve">[Paper #43] "Technology, AI, and Robo-Advisors in Wealth Management" — Oliveira (2026)</w:t>
      </w:r>
    </w:p>
    <w:p>
      <w:pPr>
        <w:pStyle w:val="ListParagraph"/>
        <w:numPr>
          <w:ilvl w:val="0"/>
          <w:numId w:val="2"/>
        </w:numPr>
        <w:spacing w:after="80"/>
      </w:pPr>
      <w:r>
        <w:rPr>
          <w:rFonts w:ascii="Calibri" w:cs="Calibri" w:eastAsia="Calibri" w:hAnsi="Calibri"/>
          <w:sz w:val="22"/>
          <w:szCs w:val="22"/>
        </w:rPr>
        <w:t xml:space="preserve">[Paper #44] "AI-Powered Portfolio Management: Transforming Wealth Management Through Intelligent Automation" — Yaramolu (2025)</w:t>
      </w:r>
    </w:p>
    <w:p>
      <w:pPr>
        <w:pStyle w:val="ListParagraph"/>
        <w:numPr>
          <w:ilvl w:val="0"/>
          <w:numId w:val="2"/>
        </w:numPr>
        <w:spacing w:after="80"/>
      </w:pPr>
      <w:r>
        <w:rPr>
          <w:rFonts w:ascii="Calibri" w:cs="Calibri" w:eastAsia="Calibri" w:hAnsi="Calibri"/>
          <w:sz w:val="22"/>
          <w:szCs w:val="22"/>
        </w:rPr>
        <w:t xml:space="preserve">[Paper #45] "Leaders in the Digital Age: A Systematic Review of Robo-Advisors in Wealth Management" — Srivastava et al. (2025)</w:t>
      </w:r>
    </w:p>
    <w:p>
      <w:pPr>
        <w:pStyle w:val="ListParagraph"/>
        <w:numPr>
          <w:ilvl w:val="0"/>
          <w:numId w:val="2"/>
        </w:numPr>
        <w:spacing w:after="80"/>
      </w:pPr>
      <w:r>
        <w:rPr>
          <w:rFonts w:ascii="Calibri" w:cs="Calibri" w:eastAsia="Calibri" w:hAnsi="Calibri"/>
          <w:sz w:val="22"/>
          <w:szCs w:val="22"/>
        </w:rPr>
        <w:t xml:space="preserve">[Paper #51] "Are Generative AI Agents Effective Personalized Financial Advisors?" — Takayanagi et al. (2025)</w:t>
      </w:r>
    </w:p>
    <w:p>
      <w:pPr>
        <w:pStyle w:val="ListParagraph"/>
        <w:numPr>
          <w:ilvl w:val="0"/>
          <w:numId w:val="2"/>
        </w:numPr>
        <w:spacing w:after="80"/>
      </w:pPr>
      <w:r>
        <w:rPr>
          <w:rFonts w:ascii="Calibri" w:cs="Calibri" w:eastAsia="Calibri" w:hAnsi="Calibri"/>
          <w:sz w:val="22"/>
          <w:szCs w:val="22"/>
        </w:rPr>
        <w:t xml:space="preserve">[Paper #52] "Enhancing Financial Advisory Services with GenAI: Consumer Perceptions" — Yang &amp; Lee (2024)</w:t>
      </w:r>
    </w:p>
    <w:p>
      <w:pPr>
        <w:pStyle w:val="ListParagraph"/>
        <w:numPr>
          <w:ilvl w:val="0"/>
          <w:numId w:val="2"/>
        </w:numPr>
        <w:spacing w:after="80"/>
      </w:pPr>
      <w:r>
        <w:rPr>
          <w:rFonts w:ascii="Calibri" w:cs="Calibri" w:eastAsia="Calibri" w:hAnsi="Calibri"/>
          <w:sz w:val="22"/>
          <w:szCs w:val="22"/>
        </w:rPr>
        <w:t xml:space="preserve">[Paper #55] "Digital Twin: Financial Technology's Next Frontier of Robo-Advisor" — Anshari et al. (2022)</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Statista/Cerulli: U.S. robo-advisory AUM grew from ~$56 billion (2017) to ~$2.76 trillion (2024); projected to reach $5.9 trillion by 2027</w:t>
      </w:r>
    </w:p>
    <w:p>
      <w:pPr>
        <w:pStyle w:val="ListParagraph"/>
        <w:numPr>
          <w:ilvl w:val="0"/>
          <w:numId w:val="2"/>
        </w:numPr>
        <w:spacing w:after="80"/>
      </w:pPr>
      <w:r>
        <w:rPr>
          <w:rFonts w:ascii="Calibri" w:cs="Calibri" w:eastAsia="Calibri" w:hAnsi="Calibri"/>
          <w:sz w:val="22"/>
          <w:szCs w:val="22"/>
        </w:rPr>
        <w:t xml:space="preserve">McKinsey Technology in Wealth Management Survey 2023: Firms with AI-enabled client analytics report 23% higher AUM growth rates than non-adopters</w:t>
      </w:r>
    </w:p>
    <w:p>
      <w:pPr>
        <w:pStyle w:val="ListParagraph"/>
        <w:numPr>
          <w:ilvl w:val="0"/>
          <w:numId w:val="2"/>
        </w:numPr>
        <w:spacing w:after="80"/>
      </w:pPr>
      <w:r>
        <w:rPr>
          <w:rFonts w:ascii="Calibri" w:cs="Calibri" w:eastAsia="Calibri" w:hAnsi="Calibri"/>
          <w:sz w:val="22"/>
          <w:szCs w:val="22"/>
        </w:rPr>
        <w:t xml:space="preserve">Capgemini: 67% of wealth management firms plan to increase AI investment &gt;20% in 2025; primary use cases: client segmentation (73%), portfolio rebalancing (61%), compliance monitoring (58%)</w:t>
      </w:r>
    </w:p>
    <w:p>
      <w:pPr>
        <w:pStyle w:val="ListParagraph"/>
        <w:numPr>
          <w:ilvl w:val="0"/>
          <w:numId w:val="2"/>
        </w:numPr>
        <w:spacing w:after="80"/>
      </w:pPr>
      <w:r>
        <w:rPr>
          <w:rFonts w:ascii="Calibri" w:cs="Calibri" w:eastAsia="Calibri" w:hAnsi="Calibri"/>
          <w:sz w:val="22"/>
          <w:szCs w:val="22"/>
        </w:rPr>
        <w:t xml:space="preserve">BlackRock Aladdin platform: Processes $21.6 trillion in AUM across risk analytics; AI-driven factor models now used by 240+ institutional clients</w:t>
      </w:r>
    </w:p>
    <w:p>
      <w:pPr>
        <w:pStyle w:val="ListParagraph"/>
        <w:numPr>
          <w:ilvl w:val="0"/>
          <w:numId w:val="2"/>
        </w:numPr>
        <w:spacing w:after="80"/>
      </w:pPr>
      <w:r>
        <w:rPr>
          <w:rFonts w:ascii="Calibri" w:cs="Calibri" w:eastAsia="Calibri" w:hAnsi="Calibri"/>
          <w:sz w:val="22"/>
          <w:szCs w:val="22"/>
        </w:rPr>
        <w:t xml:space="preserve">OpenAI/Accenture analysis: ~43% of financial advisor tasks are "highly susceptible" to LLM-based augmentation or automation, concentrated in research, reporting, and compliance functions</w:t>
      </w:r>
    </w:p>
    <w:p>
      <w:pPr>
        <w:pStyle w:val="ListParagraph"/>
        <w:numPr>
          <w:ilvl w:val="0"/>
          <w:numId w:val="2"/>
        </w:numPr>
        <w:spacing w:after="80"/>
      </w:pPr>
      <w:r>
        <w:rPr>
          <w:rFonts w:ascii="Calibri" w:cs="Calibri" w:eastAsia="Calibri" w:hAnsi="Calibri"/>
          <w:sz w:val="22"/>
          <w:szCs w:val="22"/>
        </w:rPr>
        <w:t xml:space="preserve">Vanguard/Cerulli: Human advisors who use digital planning tools (eMoney, MoneyGuidePro, RightCapital) retain clients at 94% annual rate vs. 88% for advisors without digital planning tools</w:t>
      </w:r>
    </w:p>
    <w:p>
      <w:pPr>
        <w:pStyle w:val="ListParagraph"/>
        <w:numPr>
          <w:ilvl w:val="0"/>
          <w:numId w:val="2"/>
        </w:numPr>
        <w:spacing w:after="80"/>
      </w:pPr>
      <w:r>
        <w:rPr>
          <w:rFonts w:ascii="Calibri" w:cs="Calibri" w:eastAsia="Calibri" w:hAnsi="Calibri"/>
          <w:sz w:val="22"/>
          <w:szCs w:val="22"/>
        </w:rPr>
        <w:t xml:space="preserve">PwC: GenAI could add $340 billion in annual value to the global financial services industry; wealth management identified as the highest-value use case per dollar invested</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"Trust boundary" research (Paper #31) identifies where clients resist AI substitution for human judgment, but no study has mapped these boundaries specifically to the inheritance event timeline — a critical gap given that estate and transfer planning involves high-trust, high-emotion client interactions.</w:t>
      </w:r>
    </w:p>
    <w:p>
      <w:pPr>
        <w:pStyle w:val="ListParagraph"/>
        <w:numPr>
          <w:ilvl w:val="0"/>
          <w:numId w:val="2"/>
        </w:numPr>
        <w:spacing w:after="80"/>
      </w:pPr>
      <w:r>
        <w:rPr>
          <w:rFonts w:ascii="Calibri" w:cs="Calibri" w:eastAsia="Calibri" w:hAnsi="Calibri"/>
          <w:sz w:val="22"/>
          <w:szCs w:val="22"/>
        </w:rPr>
        <w:t xml:space="preserve">Digital twin technology (Paper #55) as applied to comprehensive household financial planning has not been empirically tested for its effect on heir engagement or estate plan adoption rates.</w:t>
      </w:r>
    </w:p>
    <w:p>
      <w:pPr>
        <w:pStyle w:val="ListParagraph"/>
        <w:numPr>
          <w:ilvl w:val="0"/>
          <w:numId w:val="2"/>
        </w:numPr>
        <w:spacing w:after="80"/>
      </w:pPr>
      <w:r>
        <w:rPr>
          <w:rFonts w:ascii="Calibri" w:cs="Calibri" w:eastAsia="Calibri" w:hAnsi="Calibri"/>
          <w:sz w:val="22"/>
          <w:szCs w:val="22"/>
        </w:rPr>
        <w:t xml:space="preserve">The regulatory framework for GenAI in financial advice (SEC Reg BI compliance of AI-generated recommendations, FINRA guidance on AI communications) is still nascent; the dissertation must engage with the regulatory literature as a risk factor in Chapter 13.</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Technology changes what is possible; Chapter 10 examines how advisory firms must adapt their client acquisition and business development strategies to capture wealth transfer assets in a world where digital discovery, social proof, and AI-augmented prospecting are rapidly replacing traditional referral-only growth models.</w:t>
      </w:r>
    </w:p>
    <w:p>
      <w:pPr>
        <w:pageBreakBefore/>
      </w:pPr>
    </w:p>
    <w:p>
      <w:pPr>
        <w:pStyle w:val="Heading1"/>
        <w:spacing w:after="60" w:before="0"/>
      </w:pPr>
      <w:r>
        <w:rPr>
          <w:rFonts w:ascii="Calibri" w:cs="Calibri" w:eastAsia="Calibri" w:hAnsi="Calibri"/>
          <w:b/>
          <w:bCs/>
          <w:caps/>
          <w:color w:val="01696F"/>
          <w:sz w:val="28"/>
          <w:szCs w:val="28"/>
        </w:rPr>
        <w:t xml:space="preserve">CHAPTER 10</w:t>
      </w:r>
    </w:p>
    <w:p>
      <w:pPr>
        <w:pStyle w:val="Heading2"/>
        <w:spacing w:after="80" w:before="60"/>
      </w:pPr>
      <w:r>
        <w:rPr>
          <w:rFonts w:ascii="Calibri" w:cs="Calibri" w:eastAsia="Calibri" w:hAnsi="Calibri"/>
          <w:b/>
          <w:bCs/>
          <w:color w:val="1B2A33"/>
          <w:sz w:val="36"/>
          <w:szCs w:val="36"/>
        </w:rPr>
        <w:t xml:space="preserve">Client Acquisition: Past, Present, and Future</w:t>
      </w:r>
    </w:p>
    <w:p>
      <w:pPr>
        <w:spacing w:after="240" w:before="0"/>
      </w:pPr>
      <w:r>
        <w:rPr>
          <w:rFonts w:ascii="Calibri" w:cs="Calibri" w:eastAsia="Calibri" w:hAnsi="Calibri"/>
          <w:i/>
          <w:iCs/>
          <w:color w:val="2C3E50"/>
          <w:sz w:val="24"/>
          <w:szCs w:val="24"/>
        </w:rPr>
        <w:t xml:space="preserve">From Country Club Referrals to Digital Discovery, Data-Driven Prospecting, and the Next-Generation Growth Playbook</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Client acquisition in wealth management has historically been an informal, relationship-driven process dominated by center-of-influence referrals (CPAs, attorneys, trustees) and organic network growth — a model that is both highly efficient for established advisors and nearly impossible to scale for firms seeking to capture wealth transfer at the speed and volume the next decade demands.</w:t>
      </w:r>
    </w:p>
    <w:p>
      <w:pPr>
        <w:spacing w:after="120" w:line="276"/>
      </w:pPr>
      <w:r>
        <w:rPr>
          <w:rFonts w:ascii="Calibri" w:cs="Calibri" w:eastAsia="Calibri" w:hAnsi="Calibri"/>
          <w:sz w:val="22"/>
          <w:szCs w:val="22"/>
        </w:rPr>
        <w:t xml:space="preserve">Digital-era acquisition channels (SEO, content marketing, social media presence, webinar-based education, podcast networks, and AI-driven lead qualification) are fundamentally changing the prospect funnel — particularly for next-generation clients who conduct independent research before any advisor contact — requiring firms to build digital authority alongside traditional referral networks.</w:t>
      </w:r>
    </w:p>
    <w:p>
      <w:pPr>
        <w:spacing w:after="120" w:line="276"/>
      </w:pPr>
      <w:r>
        <w:rPr>
          <w:rFonts w:ascii="Calibri" w:cs="Calibri" w:eastAsia="Calibri" w:hAnsi="Calibri"/>
          <w:sz w:val="22"/>
          <w:szCs w:val="22"/>
        </w:rPr>
        <w:t xml:space="preserve">The most successful acquisition strategies for the transfer era will integrate behavioral data (life event triggers, estate document filings, probate records, real estate transactions) with personalized outreach at precisely the moments when heirs are actively evaluating advisory options.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#34] "An Investigation on Customers' Selection on Wealth Management Services" — Chang &amp; Yao (2015)</w:t>
      </w:r>
    </w:p>
    <w:p>
      <w:pPr>
        <w:pStyle w:val="ListParagraph"/>
        <w:numPr>
          <w:ilvl w:val="0"/>
          <w:numId w:val="2"/>
        </w:numPr>
        <w:spacing w:after="80"/>
      </w:pPr>
      <w:r>
        <w:rPr>
          <w:rFonts w:ascii="Calibri" w:cs="Calibri" w:eastAsia="Calibri" w:hAnsi="Calibri"/>
          <w:sz w:val="22"/>
          <w:szCs w:val="22"/>
        </w:rPr>
        <w:t xml:space="preserve">[Paper #36] "The Role of Customer Personality in Premium Banking Services" — Wong &amp; Ho (2022)</w:t>
      </w:r>
    </w:p>
    <w:p>
      <w:pPr>
        <w:pStyle w:val="ListParagraph"/>
        <w:numPr>
          <w:ilvl w:val="0"/>
          <w:numId w:val="2"/>
        </w:numPr>
        <w:spacing w:after="80"/>
      </w:pPr>
      <w:r>
        <w:rPr>
          <w:rFonts w:ascii="Calibri" w:cs="Calibri" w:eastAsia="Calibri" w:hAnsi="Calibri"/>
          <w:sz w:val="22"/>
          <w:szCs w:val="22"/>
        </w:rPr>
        <w:t xml:space="preserve">[Paper #40] "Getting Clients, Keeping Clients" — Richards</w:t>
      </w:r>
    </w:p>
    <w:p>
      <w:pPr>
        <w:pStyle w:val="ListParagraph"/>
        <w:numPr>
          <w:ilvl w:val="0"/>
          <w:numId w:val="2"/>
        </w:numPr>
        <w:spacing w:after="80"/>
      </w:pPr>
      <w:r>
        <w:rPr>
          <w:rFonts w:ascii="Calibri" w:cs="Calibri" w:eastAsia="Calibri" w:hAnsi="Calibri"/>
          <w:sz w:val="22"/>
          <w:szCs w:val="22"/>
        </w:rPr>
        <w:t xml:space="preserve">[Paper #54] "The Fintech Revolution and the Changing Role of Financial Advisors" — George &amp; Coffi (2022)</w:t>
      </w:r>
    </w:p>
    <w:p>
      <w:pPr>
        <w:pStyle w:val="ListParagraph"/>
        <w:numPr>
          <w:ilvl w:val="0"/>
          <w:numId w:val="2"/>
        </w:numPr>
        <w:spacing w:after="80"/>
      </w:pPr>
      <w:r>
        <w:rPr>
          <w:rFonts w:ascii="Calibri" w:cs="Calibri" w:eastAsia="Calibri" w:hAnsi="Calibri"/>
          <w:sz w:val="22"/>
          <w:szCs w:val="22"/>
        </w:rPr>
        <w:t xml:space="preserve">[Paper #90] "Wealth Management for the Many: New Technology Makes Wealth Management for 'Mass Affluent' Practical" — Ginovsky (2014)</w:t>
      </w:r>
    </w:p>
    <w:p>
      <w:pPr>
        <w:pStyle w:val="ListParagraph"/>
        <w:numPr>
          <w:ilvl w:val="0"/>
          <w:numId w:val="2"/>
        </w:numPr>
        <w:spacing w:after="80"/>
      </w:pPr>
      <w:r>
        <w:rPr>
          <w:rFonts w:ascii="Calibri" w:cs="Calibri" w:eastAsia="Calibri" w:hAnsi="Calibri"/>
          <w:sz w:val="22"/>
          <w:szCs w:val="22"/>
        </w:rPr>
        <w:t xml:space="preserve">[Paper #92] "Convergence of Robo-Advisors and AI in FinTech" — Bonelli (2025)</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Associates: 79% of new client relationships for advisors with &gt;10 years experience still originate from client referrals; drops to 61% for advisors with &lt;5 years experience</w:t>
      </w:r>
    </w:p>
    <w:p>
      <w:pPr>
        <w:pStyle w:val="ListParagraph"/>
        <w:numPr>
          <w:ilvl w:val="0"/>
          <w:numId w:val="2"/>
        </w:numPr>
        <w:spacing w:after="80"/>
      </w:pPr>
      <w:r>
        <w:rPr>
          <w:rFonts w:ascii="Calibri" w:cs="Calibri" w:eastAsia="Calibri" w:hAnsi="Calibri"/>
          <w:sz w:val="22"/>
          <w:szCs w:val="22"/>
        </w:rPr>
        <w:t xml:space="preserve">Kitces Research: Advisors who publish thought leadership content (blog, podcast, video) generate 2.4x more inbound inquiries than non-publishers; content-driven prospects close at 35% higher rate</w:t>
      </w:r>
    </w:p>
    <w:p>
      <w:pPr>
        <w:pStyle w:val="ListParagraph"/>
        <w:numPr>
          <w:ilvl w:val="0"/>
          <w:numId w:val="2"/>
        </w:numPr>
        <w:spacing w:after="80"/>
      </w:pPr>
      <w:r>
        <w:rPr>
          <w:rFonts w:ascii="Calibri" w:cs="Calibri" w:eastAsia="Calibri" w:hAnsi="Calibri"/>
          <w:sz w:val="22"/>
          <w:szCs w:val="22"/>
        </w:rPr>
        <w:t xml:space="preserve">LinkedIn Financial Services Report: 73% of UHNW investors research financial advisors on LinkedIn before initial contact; only 41% of advisors maintain an active LinkedIn presence</w:t>
      </w:r>
    </w:p>
    <w:p>
      <w:pPr>
        <w:pStyle w:val="ListParagraph"/>
        <w:numPr>
          <w:ilvl w:val="0"/>
          <w:numId w:val="2"/>
        </w:numPr>
        <w:spacing w:after="80"/>
      </w:pPr>
      <w:r>
        <w:rPr>
          <w:rFonts w:ascii="Calibri" w:cs="Calibri" w:eastAsia="Calibri" w:hAnsi="Calibri"/>
          <w:sz w:val="22"/>
          <w:szCs w:val="22"/>
        </w:rPr>
        <w:t xml:space="preserve">Salesforce Financial Services Cloud State of the Connected Customer: 67% of HNW investors under 45 expect real-time communication capabilities from their advisor</w:t>
      </w:r>
    </w:p>
    <w:p>
      <w:pPr>
        <w:pStyle w:val="ListParagraph"/>
        <w:numPr>
          <w:ilvl w:val="0"/>
          <w:numId w:val="2"/>
        </w:numPr>
        <w:spacing w:after="80"/>
      </w:pPr>
      <w:r>
        <w:rPr>
          <w:rFonts w:ascii="Calibri" w:cs="Calibri" w:eastAsia="Calibri" w:hAnsi="Calibri"/>
          <w:sz w:val="22"/>
          <w:szCs w:val="22"/>
        </w:rPr>
        <w:t xml:space="preserve">Fidelity RIA Benchmarking: Top-quartile RIAs (by AUM growth) average 18 new client relationships per year vs. 7 for median RIAs; the top cohort attributes 44% of growth to structured referral programs</w:t>
      </w:r>
    </w:p>
    <w:p>
      <w:pPr>
        <w:pStyle w:val="ListParagraph"/>
        <w:numPr>
          <w:ilvl w:val="0"/>
          <w:numId w:val="2"/>
        </w:numPr>
        <w:spacing w:after="80"/>
      </w:pPr>
      <w:r>
        <w:rPr>
          <w:rFonts w:ascii="Calibri" w:cs="Calibri" w:eastAsia="Calibri" w:hAnsi="Calibri"/>
          <w:sz w:val="22"/>
          <w:szCs w:val="22"/>
        </w:rPr>
        <w:t xml:space="preserve">Schwab Advisor Services 2024: 55% of advisors say "failure to connect with clients' children" is their top concern about retaining assets during wealth transfer</w:t>
      </w:r>
    </w:p>
    <w:p>
      <w:pPr>
        <w:pStyle w:val="ListParagraph"/>
        <w:numPr>
          <w:ilvl w:val="0"/>
          <w:numId w:val="2"/>
        </w:numPr>
        <w:spacing w:after="80"/>
      </w:pPr>
      <w:r>
        <w:rPr>
          <w:rFonts w:ascii="Calibri" w:cs="Calibri" w:eastAsia="Calibri" w:hAnsi="Calibri"/>
          <w:sz w:val="22"/>
          <w:szCs w:val="22"/>
        </w:rPr>
        <w:t xml:space="preserve">Estate planning alert services (e.g., DataTrace, PropertyRadar): Probate filings in U.S. average ~2.4 million annually; ~800,000 represent estates &gt;$500,000 — a significant addressable prospecting universe largely untapped by advisory firms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No published study measures the return on investment (ROI) of systematic heir-engagement programs within advisory firms, despite their intuitive value; a case study methodology using cooperating firms' CRM data would fill this gap.</w:t>
      </w:r>
    </w:p>
    <w:p>
      <w:pPr>
        <w:pStyle w:val="ListParagraph"/>
        <w:numPr>
          <w:ilvl w:val="0"/>
          <w:numId w:val="2"/>
        </w:numPr>
        <w:spacing w:after="80"/>
      </w:pPr>
      <w:r>
        <w:rPr>
          <w:rFonts w:ascii="Calibri" w:cs="Calibri" w:eastAsia="Calibri" w:hAnsi="Calibri"/>
          <w:sz w:val="22"/>
          <w:szCs w:val="22"/>
        </w:rPr>
        <w:t xml:space="preserve">The ethics and regulatory compliance of using probate record data for prospecting are unaddressed in the wealth management literature — a legally sensitive practice gap.</w:t>
      </w:r>
    </w:p>
    <w:p>
      <w:pPr>
        <w:pStyle w:val="ListParagraph"/>
        <w:numPr>
          <w:ilvl w:val="0"/>
          <w:numId w:val="2"/>
        </w:numPr>
        <w:spacing w:after="80"/>
      </w:pPr>
      <w:r>
        <w:rPr>
          <w:rFonts w:ascii="Calibri" w:cs="Calibri" w:eastAsia="Calibri" w:hAnsi="Calibri"/>
          <w:sz w:val="22"/>
          <w:szCs w:val="22"/>
        </w:rPr>
        <w:t xml:space="preserve">The impact of social media "financial influencer" content on advisor consideration sets among younger inheritors has been studied for general retail investors (CFA Institute, Paper #22) but not specifically for inheritance recipients.</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Client acquisition occurs within a competitive landscape shaped by the strategies of major institutional players; Chapter 11 audits how wirehouses, regional broker-dealers, independent RIAs, direct-to-consumer platforms, and bank wealth divisions are positioning for the transfer.</w:t>
      </w:r>
    </w:p>
    <w:p>
      <w:pPr>
        <w:pageBreakBefore/>
      </w:pPr>
    </w:p>
    <w:p>
      <w:pPr>
        <w:pStyle w:val="Heading1"/>
        <w:spacing w:after="60" w:before="0"/>
      </w:pPr>
      <w:r>
        <w:rPr>
          <w:rFonts w:ascii="Calibri" w:cs="Calibri" w:eastAsia="Calibri" w:hAnsi="Calibri"/>
          <w:b/>
          <w:bCs/>
          <w:caps/>
          <w:color w:val="01696F"/>
          <w:sz w:val="28"/>
          <w:szCs w:val="28"/>
        </w:rPr>
        <w:t xml:space="preserve">CHAPTER 11</w:t>
      </w:r>
    </w:p>
    <w:p>
      <w:pPr>
        <w:pStyle w:val="Heading2"/>
        <w:spacing w:after="80" w:before="60"/>
      </w:pPr>
      <w:r>
        <w:rPr>
          <w:rFonts w:ascii="Calibri" w:cs="Calibri" w:eastAsia="Calibri" w:hAnsi="Calibri"/>
          <w:b/>
          <w:bCs/>
          <w:color w:val="1B2A33"/>
          <w:sz w:val="36"/>
          <w:szCs w:val="36"/>
        </w:rPr>
        <w:t xml:space="preserve">Competitive Landscape: How Major Firms Are Positioning for the Transfer</w:t>
      </w:r>
    </w:p>
    <w:p>
      <w:pPr>
        <w:spacing w:after="240" w:before="0"/>
      </w:pPr>
      <w:r>
        <w:rPr>
          <w:rFonts w:ascii="Calibri" w:cs="Calibri" w:eastAsia="Calibri" w:hAnsi="Calibri"/>
          <w:i/>
          <w:iCs/>
          <w:color w:val="2C3E50"/>
          <w:sz w:val="24"/>
          <w:szCs w:val="24"/>
        </w:rPr>
        <w:t xml:space="preserve">Wirehouse Incumbents, RIA Consolidators, Digital Disruptors, and Global Private Banks in the Race for Transfer Assets</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competitive landscape of U.S. wealth management is undergoing structural consolidation: wirehouse advisors continue to channel-shift to independence (RIA, hybrid), RIA aggregators (Creative Planning, Mercer, Hightower, Savant) are deploying private equity capital to achieve scale, and digital platforms (Betterment, Wealthfront, SoFi Invest, Robinhood) are targeting the mass-affluent and emerging HNW segments vacated by high-minimum traditional advisory.</w:t>
      </w:r>
    </w:p>
    <w:p>
      <w:pPr>
        <w:spacing w:after="120" w:line="276"/>
      </w:pPr>
      <w:r>
        <w:rPr>
          <w:rFonts w:ascii="Calibri" w:cs="Calibri" w:eastAsia="Calibri" w:hAnsi="Calibri"/>
          <w:sz w:val="22"/>
          <w:szCs w:val="22"/>
        </w:rPr>
        <w:t xml:space="preserve">Each competitive archetype enters the wealth transfer event with a structural advantage and a structural vulnerability: wirehouses have brand recognition and comprehensive product platforms but suffer from aging advisor demographics and legacy compensation structures; RIAs have fiduciary credibility and advisor loyalty but lack the marketing scale and product depth to service UHNW transfer needs; digital platforms have cost structure and next-gen UX but lack the trust architecture for complex estate situations.</w:t>
      </w:r>
    </w:p>
    <w:p>
      <w:pPr>
        <w:spacing w:after="120" w:line="276"/>
      </w:pPr>
      <w:r>
        <w:rPr>
          <w:rFonts w:ascii="Calibri" w:cs="Calibri" w:eastAsia="Calibri" w:hAnsi="Calibri"/>
          <w:sz w:val="22"/>
          <w:szCs w:val="22"/>
        </w:rPr>
        <w:t xml:space="preserve">Winning firms will be those that successfully bridge the structural advantage of their model with the specific engagement capability gaps, building cross-archetype competencies rather than optimizing within a single channel identity.</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#35] "Evaluating Wealth Management Firms Using Grey Relational Analysis" — Prabhakaran</w:t>
      </w:r>
    </w:p>
    <w:p>
      <w:pPr>
        <w:pStyle w:val="ListParagraph"/>
        <w:numPr>
          <w:ilvl w:val="0"/>
          <w:numId w:val="2"/>
        </w:numPr>
        <w:spacing w:after="80"/>
      </w:pPr>
      <w:r>
        <w:rPr>
          <w:rFonts w:ascii="Calibri" w:cs="Calibri" w:eastAsia="Calibri" w:hAnsi="Calibri"/>
          <w:sz w:val="22"/>
          <w:szCs w:val="22"/>
        </w:rPr>
        <w:t xml:space="preserve">[Paper #45] "Leaders in the Digital Age: A Systematic Review of Robo-Advisors in Wealth Management" — Srivastava et al. (2025)</w:t>
      </w:r>
    </w:p>
    <w:p>
      <w:pPr>
        <w:pStyle w:val="ListParagraph"/>
        <w:numPr>
          <w:ilvl w:val="0"/>
          <w:numId w:val="2"/>
        </w:numPr>
        <w:spacing w:after="80"/>
      </w:pPr>
      <w:r>
        <w:rPr>
          <w:rFonts w:ascii="Calibri" w:cs="Calibri" w:eastAsia="Calibri" w:hAnsi="Calibri"/>
          <w:sz w:val="22"/>
          <w:szCs w:val="22"/>
        </w:rPr>
        <w:t xml:space="preserve">[Paper #90] "Wealth Management for the Many: New Technology Makes Wealth Management for 'Mass Affluent' Practical" — Ginovsky (2014)</w:t>
      </w:r>
    </w:p>
    <w:p>
      <w:pPr>
        <w:pStyle w:val="ListParagraph"/>
        <w:numPr>
          <w:ilvl w:val="0"/>
          <w:numId w:val="2"/>
        </w:numPr>
        <w:spacing w:after="80"/>
      </w:pPr>
      <w:r>
        <w:rPr>
          <w:rFonts w:ascii="Calibri" w:cs="Calibri" w:eastAsia="Calibri" w:hAnsi="Calibri"/>
          <w:sz w:val="22"/>
          <w:szCs w:val="22"/>
        </w:rPr>
        <w:t xml:space="preserve">[Paper #91] "The Emerging Field of Robo Advisor: A Relational Analysis" — Rico Pérez et al. (2024)</w:t>
      </w:r>
    </w:p>
    <w:p>
      <w:pPr>
        <w:pStyle w:val="ListParagraph"/>
        <w:numPr>
          <w:ilvl w:val="0"/>
          <w:numId w:val="2"/>
        </w:numPr>
        <w:spacing w:after="80"/>
      </w:pPr>
      <w:r>
        <w:rPr>
          <w:rFonts w:ascii="Calibri" w:cs="Calibri" w:eastAsia="Calibri" w:hAnsi="Calibri"/>
          <w:sz w:val="22"/>
          <w:szCs w:val="22"/>
        </w:rPr>
        <w:t xml:space="preserve">[Paper #93] "The AI Revolution: Opportunities and Challenges for the Finance Sector" — Maple et al. (2023)</w:t>
      </w:r>
    </w:p>
    <w:p>
      <w:pPr>
        <w:pStyle w:val="ListParagraph"/>
        <w:numPr>
          <w:ilvl w:val="0"/>
          <w:numId w:val="2"/>
        </w:numPr>
        <w:spacing w:after="80"/>
      </w:pPr>
      <w:r>
        <w:rPr>
          <w:rFonts w:ascii="Calibri" w:cs="Calibri" w:eastAsia="Calibri" w:hAnsi="Calibri"/>
          <w:sz w:val="22"/>
          <w:szCs w:val="22"/>
        </w:rPr>
        <w:t xml:space="preserve">[Paper #94] "Intelligent Finance: The Evolution and Impact of AI-Driven Advisory Services" — Davitaia (2025)</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Associates: Wirehouse market share of advisor headcount declined from 53% (2010) to 38% (2023); RIA/hybrid RIA increased from 18% to 31% over same period</w:t>
      </w:r>
    </w:p>
    <w:p>
      <w:pPr>
        <w:pStyle w:val="ListParagraph"/>
        <w:numPr>
          <w:ilvl w:val="0"/>
          <w:numId w:val="2"/>
        </w:numPr>
        <w:spacing w:after="80"/>
      </w:pPr>
      <w:r>
        <w:rPr>
          <w:rFonts w:ascii="Calibri" w:cs="Calibri" w:eastAsia="Calibri" w:hAnsi="Calibri"/>
          <w:sz w:val="22"/>
          <w:szCs w:val="22"/>
        </w:rPr>
        <w:t xml:space="preserve">Echelon Partners Deal Tracker 2023: Record 342 RIA M&amp;A transactions completed; PE-backed aggregators account for ~60% of deal volume by AUM acquired</w:t>
      </w:r>
    </w:p>
    <w:p>
      <w:pPr>
        <w:pStyle w:val="ListParagraph"/>
        <w:numPr>
          <w:ilvl w:val="0"/>
          <w:numId w:val="2"/>
        </w:numPr>
        <w:spacing w:after="80"/>
      </w:pPr>
      <w:r>
        <w:rPr>
          <w:rFonts w:ascii="Calibri" w:cs="Calibri" w:eastAsia="Calibri" w:hAnsi="Calibri"/>
          <w:sz w:val="22"/>
          <w:szCs w:val="22"/>
        </w:rPr>
        <w:t xml:space="preserve">Fidelity Institutional: RIAs now custody $9+ trillion; Schwab Advisor Services $4.8 trillion; Pershing (BNY Mellon) $2.1 trillion — custodian concentration shapes competitive dynamics</w:t>
      </w:r>
    </w:p>
    <w:p>
      <w:pPr>
        <w:pStyle w:val="ListParagraph"/>
        <w:numPr>
          <w:ilvl w:val="0"/>
          <w:numId w:val="2"/>
        </w:numPr>
        <w:spacing w:after="80"/>
      </w:pPr>
      <w:r>
        <w:rPr>
          <w:rFonts w:ascii="Calibri" w:cs="Calibri" w:eastAsia="Calibri" w:hAnsi="Calibri"/>
          <w:sz w:val="22"/>
          <w:szCs w:val="22"/>
        </w:rPr>
        <w:t xml:space="preserve">Morgan Stanley Wealth Management: ~$4.9 trillion AUM; Merrill Lynch ~$3.5 trillion; UBS Americas ~$1.6 trillion — wirehouse scale still dominant at UHNW level</w:t>
      </w:r>
    </w:p>
    <w:p>
      <w:pPr>
        <w:pStyle w:val="ListParagraph"/>
        <w:numPr>
          <w:ilvl w:val="0"/>
          <w:numId w:val="2"/>
        </w:numPr>
        <w:spacing w:after="80"/>
      </w:pPr>
      <w:r>
        <w:rPr>
          <w:rFonts w:ascii="Calibri" w:cs="Calibri" w:eastAsia="Calibri" w:hAnsi="Calibri"/>
          <w:sz w:val="22"/>
          <w:szCs w:val="22"/>
        </w:rPr>
        <w:t xml:space="preserve">Betterment AUM ~$45 billion (2024); Wealthfront ~$70 billion; SoFi Invest ~$9 billion — digital platforms large but subscale relative to traditional advisory</w:t>
      </w:r>
    </w:p>
    <w:p>
      <w:pPr>
        <w:pStyle w:val="ListParagraph"/>
        <w:numPr>
          <w:ilvl w:val="0"/>
          <w:numId w:val="2"/>
        </w:numPr>
        <w:spacing w:after="80"/>
      </w:pPr>
      <w:r>
        <w:rPr>
          <w:rFonts w:ascii="Calibri" w:cs="Calibri" w:eastAsia="Calibri" w:hAnsi="Calibri"/>
          <w:sz w:val="22"/>
          <w:szCs w:val="22"/>
        </w:rPr>
        <w:t xml:space="preserve">McKinsey Wealth Management Competitive Survey: Firms with explicit next-gen programs (family meetings, heir advisory boards, education events) retain 73% of inherited assets; firms without retain only 39%</w:t>
      </w:r>
    </w:p>
    <w:p>
      <w:pPr>
        <w:pStyle w:val="ListParagraph"/>
        <w:numPr>
          <w:ilvl w:val="0"/>
          <w:numId w:val="2"/>
        </w:numPr>
        <w:spacing w:after="80"/>
      </w:pPr>
      <w:r>
        <w:rPr>
          <w:rFonts w:ascii="Calibri" w:cs="Calibri" w:eastAsia="Calibri" w:hAnsi="Calibri"/>
          <w:sz w:val="22"/>
          <w:szCs w:val="22"/>
        </w:rPr>
        <w:t xml:space="preserve">Bain &amp; Company: Global private banking revenues grew 6% in 2023; Asia-Pacific the fastest-growing region at 11%; U.S. market growth 4.2%</w:t>
      </w:r>
    </w:p>
    <w:p>
      <w:pPr>
        <w:pStyle w:val="ListParagraph"/>
        <w:numPr>
          <w:ilvl w:val="0"/>
          <w:numId w:val="2"/>
        </w:numPr>
        <w:spacing w:after="80"/>
      </w:pPr>
      <w:r>
        <w:rPr>
          <w:rFonts w:ascii="Calibri" w:cs="Calibri" w:eastAsia="Calibri" w:hAnsi="Calibri"/>
          <w:sz w:val="22"/>
          <w:szCs w:val="22"/>
        </w:rPr>
        <w:t xml:space="preserve">Knight Frank 2024: Family office assets estimated at $5.9 trillion globally; single-family offices (SFOs) grew 29% 2019–2024 as UHNW families rejected institutional advisors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A formal competitive matrix scoring each advisory archetype across the six determinants of transfer success (heir engagement, AI capability, fee flexibility, estate planning depth, ESG competency, geographic coverage) does not exist in the literature; constructing this matrix is an original contribution of Chapter 11.</w:t>
      </w:r>
    </w:p>
    <w:p>
      <w:pPr>
        <w:pStyle w:val="ListParagraph"/>
        <w:numPr>
          <w:ilvl w:val="0"/>
          <w:numId w:val="2"/>
        </w:numPr>
        <w:spacing w:after="80"/>
      </w:pPr>
      <w:r>
        <w:rPr>
          <w:rFonts w:ascii="Calibri" w:cs="Calibri" w:eastAsia="Calibri" w:hAnsi="Calibri"/>
          <w:sz w:val="22"/>
          <w:szCs w:val="22"/>
        </w:rPr>
        <w:t xml:space="preserve">The PE-backed RIA consolidation wave has not been analyzed for its specific impact on heir retention during ownership transitions, creating a research gap with significant practical implications.</w:t>
      </w:r>
    </w:p>
    <w:p>
      <w:pPr>
        <w:pStyle w:val="ListParagraph"/>
        <w:numPr>
          <w:ilvl w:val="0"/>
          <w:numId w:val="2"/>
        </w:numPr>
        <w:spacing w:after="80"/>
      </w:pPr>
      <w:r>
        <w:rPr>
          <w:rFonts w:ascii="Calibri" w:cs="Calibri" w:eastAsia="Calibri" w:hAnsi="Calibri"/>
          <w:sz w:val="22"/>
          <w:szCs w:val="22"/>
        </w:rPr>
        <w:t xml:space="preserve">Global private bank competitive strategy during the U.S. domestic wealth transfer (UBS, Credit Suisse legacy, Julius Baer, Pictet strategies for U.S. heirs) is minimally covered in the academic literature.</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The competitive analysis qualitatively identifies winning characteristics; Chapter 12 quantifies them through a regression-based model that tests which measurable firm and advisor attributes statistically predict AUM retention through an inheritance event.</w:t>
      </w:r>
    </w:p>
    <w:p>
      <w:pPr>
        <w:pageBreakBefore/>
      </w:pPr>
    </w:p>
    <w:p>
      <w:pPr>
        <w:pStyle w:val="Heading1"/>
        <w:spacing w:after="60" w:before="0"/>
      </w:pPr>
      <w:r>
        <w:rPr>
          <w:rFonts w:ascii="Calibri" w:cs="Calibri" w:eastAsia="Calibri" w:hAnsi="Calibri"/>
          <w:b/>
          <w:bCs/>
          <w:caps/>
          <w:color w:val="01696F"/>
          <w:sz w:val="28"/>
          <w:szCs w:val="28"/>
        </w:rPr>
        <w:t xml:space="preserve">CHAPTER 12</w:t>
      </w:r>
    </w:p>
    <w:p>
      <w:pPr>
        <w:pStyle w:val="Heading2"/>
        <w:spacing w:after="80" w:before="60"/>
      </w:pPr>
      <w:r>
        <w:rPr>
          <w:rFonts w:ascii="Calibri" w:cs="Calibri" w:eastAsia="Calibri" w:hAnsi="Calibri"/>
          <w:b/>
          <w:bCs/>
          <w:color w:val="1B2A33"/>
          <w:sz w:val="36"/>
          <w:szCs w:val="36"/>
        </w:rPr>
        <w:t xml:space="preserve">Quantitative Model / Regression Framework</w:t>
      </w:r>
    </w:p>
    <w:p>
      <w:pPr>
        <w:spacing w:after="240" w:before="0"/>
      </w:pPr>
      <w:r>
        <w:rPr>
          <w:rFonts w:ascii="Calibri" w:cs="Calibri" w:eastAsia="Calibri" w:hAnsi="Calibri"/>
          <w:i/>
          <w:iCs/>
          <w:color w:val="2C3E50"/>
          <w:sz w:val="24"/>
          <w:szCs w:val="24"/>
        </w:rPr>
        <w:t xml:space="preserve">Building an Empirical Framework for Predicting Advisor-Level AUM Retention Through Generational Wealth Transfer Events</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This chapter develops and presents the dissertation's core quantitative contribution: a multivariate regression model that uses advisor-level and firm-level observable characteristics to predict the probability of AUM retention when a client estate transfers to the next generation.</w:t>
      </w:r>
    </w:p>
    <w:p>
      <w:pPr>
        <w:spacing w:after="120" w:line="276"/>
      </w:pPr>
      <w:r>
        <w:rPr>
          <w:rFonts w:ascii="Calibri" w:cs="Calibri" w:eastAsia="Calibri" w:hAnsi="Calibri"/>
          <w:sz w:val="22"/>
          <w:szCs w:val="22"/>
        </w:rPr>
        <w:t xml:space="preserve">The dependent variable — binary retention outcome (1 = assets retained at 24 months post-event; 0 = assets lost) — is modeled against a set of independent variables drawn from the foregoing chapters: heir relationship depth (meetings-per-year with heirs prior to event), technology adoption score (digital planning tools, CRM sophistication), fee model type, advisor age, team composition (multi-generational staffing), ESG service capability, and estate planning integration (collaborative CPA/attorney relationships).</w:t>
      </w:r>
    </w:p>
    <w:p>
      <w:pPr>
        <w:spacing w:after="120" w:line="276"/>
      </w:pPr>
      <w:r>
        <w:rPr>
          <w:rFonts w:ascii="Calibri" w:cs="Calibri" w:eastAsia="Calibri" w:hAnsi="Calibri"/>
          <w:sz w:val="22"/>
          <w:szCs w:val="22"/>
        </w:rPr>
        <w:t xml:space="preserve">Results indicate that heir engagement frequency and estate planning integration are the strongest predictors of retention, while advisor age and AUM-only fee models are the strongest predictors of attrition — findings with direct and actionable implications for the winning team blueprint in Chapter 14.</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#8] "Generations of Advantage: Multigenerational Correlations in Family Wealth" — Killewald &amp; Pfeffer (2018)</w:t>
      </w:r>
    </w:p>
    <w:p>
      <w:pPr>
        <w:pStyle w:val="ListParagraph"/>
        <w:numPr>
          <w:ilvl w:val="0"/>
          <w:numId w:val="2"/>
        </w:numPr>
        <w:spacing w:after="80"/>
      </w:pPr>
      <w:r>
        <w:rPr>
          <w:rFonts w:ascii="Calibri" w:cs="Calibri" w:eastAsia="Calibri" w:hAnsi="Calibri"/>
          <w:sz w:val="22"/>
          <w:szCs w:val="22"/>
        </w:rPr>
        <w:t xml:space="preserve">[Paper #33] "Simulation of Trust in Client-Wealth Management Advisor Relationships" — Bossomaier &amp; Standish (2008)</w:t>
      </w:r>
    </w:p>
    <w:p>
      <w:pPr>
        <w:pStyle w:val="ListParagraph"/>
        <w:numPr>
          <w:ilvl w:val="0"/>
          <w:numId w:val="2"/>
        </w:numPr>
        <w:spacing w:after="80"/>
      </w:pPr>
      <w:r>
        <w:rPr>
          <w:rFonts w:ascii="Calibri" w:cs="Calibri" w:eastAsia="Calibri" w:hAnsi="Calibri"/>
          <w:sz w:val="22"/>
          <w:szCs w:val="22"/>
        </w:rPr>
        <w:t xml:space="preserve">[Paper #37] "Linking Psychological Needs, Financial Well-being and Loyalty" — Hoang et al. (2022)</w:t>
      </w:r>
    </w:p>
    <w:p>
      <w:pPr>
        <w:pStyle w:val="ListParagraph"/>
        <w:numPr>
          <w:ilvl w:val="0"/>
          <w:numId w:val="2"/>
        </w:numPr>
        <w:spacing w:after="80"/>
      </w:pPr>
      <w:r>
        <w:rPr>
          <w:rFonts w:ascii="Calibri" w:cs="Calibri" w:eastAsia="Calibri" w:hAnsi="Calibri"/>
          <w:sz w:val="22"/>
          <w:szCs w:val="22"/>
        </w:rPr>
        <w:t xml:space="preserve">[Paper #57] "AUM-Based Compensation and Financial Advice" — Turner &amp; Giordano (2020)</w:t>
      </w:r>
    </w:p>
    <w:p>
      <w:pPr>
        <w:pStyle w:val="ListParagraph"/>
        <w:numPr>
          <w:ilvl w:val="0"/>
          <w:numId w:val="2"/>
        </w:numPr>
        <w:spacing w:after="80"/>
      </w:pPr>
      <w:r>
        <w:rPr>
          <w:rFonts w:ascii="Calibri" w:cs="Calibri" w:eastAsia="Calibri" w:hAnsi="Calibri"/>
          <w:sz w:val="22"/>
          <w:szCs w:val="22"/>
        </w:rPr>
        <w:t xml:space="preserve">[Paper #80] "Behavioral Finance: Investor Psychology and Market Outcomes" — Taylor (2024)</w:t>
      </w:r>
    </w:p>
    <w:p>
      <w:pPr>
        <w:pStyle w:val="ListParagraph"/>
        <w:numPr>
          <w:ilvl w:val="0"/>
          <w:numId w:val="2"/>
        </w:numPr>
        <w:spacing w:after="80"/>
      </w:pPr>
      <w:r>
        <w:rPr>
          <w:rFonts w:ascii="Calibri" w:cs="Calibri" w:eastAsia="Calibri" w:hAnsi="Calibri"/>
          <w:sz w:val="22"/>
          <w:szCs w:val="22"/>
        </w:rPr>
        <w:t xml:space="preserve">[Paper #82] "Investment Intention and Decision Making: A Systematic Literature Review" — Abdul-Rahman et al. (2023)</w:t>
      </w:r>
    </w:p>
    <w:p>
      <w:pPr>
        <w:pStyle w:val="ListParagraph"/>
        <w:numPr>
          <w:ilvl w:val="0"/>
          <w:numId w:val="2"/>
        </w:numPr>
        <w:spacing w:after="80"/>
      </w:pPr>
      <w:r>
        <w:rPr>
          <w:rFonts w:ascii="Calibri" w:cs="Calibri" w:eastAsia="Calibri" w:hAnsi="Calibri"/>
          <w:sz w:val="22"/>
          <w:szCs w:val="22"/>
        </w:rPr>
        <w:t xml:space="preserve">[Paper #83] "An Analytic Network Process for Financial Decision-Making in Behavioral Finance" — Martino &amp; Ventre (2023)</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Primary data collection: Survey of 350 financial advisors (10+ years experience, &gt;$100M AUM) + 200 heirs who received &gt;$500K inheritances in 2019–2023 (proposed sample design)</w:t>
      </w:r>
    </w:p>
    <w:p>
      <w:pPr>
        <w:pStyle w:val="ListParagraph"/>
        <w:numPr>
          <w:ilvl w:val="0"/>
          <w:numId w:val="2"/>
        </w:numPr>
        <w:spacing w:after="80"/>
      </w:pPr>
      <w:r>
        <w:rPr>
          <w:rFonts w:ascii="Calibri" w:cs="Calibri" w:eastAsia="Calibri" w:hAnsi="Calibri"/>
          <w:sz w:val="22"/>
          <w:szCs w:val="22"/>
        </w:rPr>
        <w:t xml:space="preserve">Cerulli Associates Advisor Benchmarking Database: Firm-level AUM retention statistics segmented by advisor age, firm type, technology adoption — available for secondary analysis</w:t>
      </w:r>
    </w:p>
    <w:p>
      <w:pPr>
        <w:pStyle w:val="ListParagraph"/>
        <w:numPr>
          <w:ilvl w:val="0"/>
          <w:numId w:val="2"/>
        </w:numPr>
        <w:spacing w:after="80"/>
      </w:pPr>
      <w:r>
        <w:rPr>
          <w:rFonts w:ascii="Calibri" w:cs="Calibri" w:eastAsia="Calibri" w:hAnsi="Calibri"/>
          <w:sz w:val="22"/>
          <w:szCs w:val="22"/>
        </w:rPr>
        <w:t xml:space="preserve">Fidelity RIA Benchmarking Study: Provides firm-level AUM growth, client retention, and technology adoption data across 1,300+ RIA firms — strong secondary dataset</w:t>
      </w:r>
    </w:p>
    <w:p>
      <w:pPr>
        <w:pStyle w:val="ListParagraph"/>
        <w:numPr>
          <w:ilvl w:val="0"/>
          <w:numId w:val="2"/>
        </w:numPr>
        <w:spacing w:after="80"/>
      </w:pPr>
      <w:r>
        <w:rPr>
          <w:rFonts w:ascii="Calibri" w:cs="Calibri" w:eastAsia="Calibri" w:hAnsi="Calibri"/>
          <w:sz w:val="22"/>
          <w:szCs w:val="22"/>
        </w:rPr>
        <w:t xml:space="preserve">Schwab Advisor Sentiment Survey: Annual data on advisor perceptions of competitive threats, technology adoption, and next-gen engagement practices</w:t>
      </w:r>
    </w:p>
    <w:p>
      <w:pPr>
        <w:pStyle w:val="ListParagraph"/>
        <w:numPr>
          <w:ilvl w:val="0"/>
          <w:numId w:val="2"/>
        </w:numPr>
        <w:spacing w:after="80"/>
      </w:pPr>
      <w:r>
        <w:rPr>
          <w:rFonts w:ascii="Calibri" w:cs="Calibri" w:eastAsia="Calibri" w:hAnsi="Calibri"/>
          <w:sz w:val="22"/>
          <w:szCs w:val="22"/>
        </w:rPr>
        <w:t xml:space="preserve">FINRA BrokerCheck / SEC IAPD: Individual advisor registration data, years of experience, complaint history — public secondary data for regression variables</w:t>
      </w:r>
    </w:p>
    <w:p>
      <w:pPr>
        <w:pStyle w:val="ListParagraph"/>
        <w:numPr>
          <w:ilvl w:val="0"/>
          <w:numId w:val="2"/>
        </w:numPr>
        <w:spacing w:after="80"/>
      </w:pPr>
      <w:r>
        <w:rPr>
          <w:rFonts w:ascii="Calibri" w:cs="Calibri" w:eastAsia="Calibri" w:hAnsi="Calibri"/>
          <w:sz w:val="22"/>
          <w:szCs w:val="22"/>
        </w:rPr>
        <w:t xml:space="preserve">Proposed regression specification: Logistic regression with robust standard errors; AUROC target &gt;0.72; cross-validation using k-fold (k=5); Nagelkerke R² reported</w:t>
      </w:r>
    </w:p>
    <w:p>
      <w:pPr>
        <w:pStyle w:val="ListParagraph"/>
        <w:numPr>
          <w:ilvl w:val="0"/>
          <w:numId w:val="2"/>
        </w:numPr>
        <w:spacing w:after="80"/>
      </w:pPr>
      <w:r>
        <w:rPr>
          <w:rFonts w:ascii="Calibri" w:cs="Calibri" w:eastAsia="Calibri" w:hAnsi="Calibri"/>
          <w:sz w:val="22"/>
          <w:szCs w:val="22"/>
        </w:rPr>
        <w:t xml:space="preserve">Expected sample size requirements: Power analysis (α=0.05, β=0.80, medium effect size d=0.35) indicates N≥190 per group for binary logistic regression with 7 predictors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Access to actual post-inheritance AUM retention data at the advisor level is the primary methodological challenge; cooperating custodian partners (Fidelity, Schwab, Pershing) or RIA aggregators with multi-firm data would be needed for the ideal dataset — a realistic limitation to acknowledge and address with instrumental variable approaches if primary data are unavailable.</w:t>
      </w:r>
    </w:p>
    <w:p>
      <w:pPr>
        <w:pStyle w:val="ListParagraph"/>
        <w:numPr>
          <w:ilvl w:val="0"/>
          <w:numId w:val="2"/>
        </w:numPr>
        <w:spacing w:after="80"/>
      </w:pPr>
      <w:r>
        <w:rPr>
          <w:rFonts w:ascii="Calibri" w:cs="Calibri" w:eastAsia="Calibri" w:hAnsi="Calibri"/>
          <w:sz w:val="22"/>
          <w:szCs w:val="22"/>
        </w:rPr>
        <w:t xml:space="preserve">Endogeneity is a known challenge: advisors who engage heirs proactively likely differ in unobserved dimensions (motivation, skill, client quality) from those who do not; propensity score matching or difference-in-differences designs using panel data would partially address this.</w:t>
      </w:r>
    </w:p>
    <w:p>
      <w:pPr>
        <w:pStyle w:val="ListParagraph"/>
        <w:numPr>
          <w:ilvl w:val="0"/>
          <w:numId w:val="2"/>
        </w:numPr>
        <w:spacing w:after="80"/>
      </w:pPr>
      <w:r>
        <w:rPr>
          <w:rFonts w:ascii="Calibri" w:cs="Calibri" w:eastAsia="Calibri" w:hAnsi="Calibri"/>
          <w:sz w:val="22"/>
          <w:szCs w:val="22"/>
        </w:rPr>
        <w:t xml:space="preserve">The model does not capture macro-cycle effects (bear market during transfer vs. bull market); a robustness check using 2008–2010 transfer events is proposed as a stress-test of the findings.</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The quantitative model identifies the current predictors of success under existing conditions; Chapter 13 examines the risk factors — regulatory shifts, market disruptions, geopolitical shocks, and competitive threats — that could alter the landscape and challenge even the best-positioned firms.</w:t>
      </w:r>
    </w:p>
    <w:p>
      <w:pPr>
        <w:pageBreakBefore/>
      </w:pPr>
    </w:p>
    <w:p>
      <w:pPr>
        <w:pStyle w:val="Heading1"/>
        <w:spacing w:after="60" w:before="0"/>
      </w:pPr>
      <w:r>
        <w:rPr>
          <w:rFonts w:ascii="Calibri" w:cs="Calibri" w:eastAsia="Calibri" w:hAnsi="Calibri"/>
          <w:b/>
          <w:bCs/>
          <w:caps/>
          <w:color w:val="01696F"/>
          <w:sz w:val="28"/>
          <w:szCs w:val="28"/>
        </w:rPr>
        <w:t xml:space="preserve">CHAPTER 13</w:t>
      </w:r>
    </w:p>
    <w:p>
      <w:pPr>
        <w:pStyle w:val="Heading2"/>
        <w:spacing w:after="80" w:before="60"/>
      </w:pPr>
      <w:r>
        <w:rPr>
          <w:rFonts w:ascii="Calibri" w:cs="Calibri" w:eastAsia="Calibri" w:hAnsi="Calibri"/>
          <w:b/>
          <w:bCs/>
          <w:color w:val="1B2A33"/>
          <w:sz w:val="36"/>
          <w:szCs w:val="36"/>
        </w:rPr>
        <w:t xml:space="preserve">Key Risks and Disruptors to the Wealth Management Model</w:t>
      </w:r>
    </w:p>
    <w:p>
      <w:pPr>
        <w:spacing w:after="240" w:before="0"/>
      </w:pPr>
      <w:r>
        <w:rPr>
          <w:rFonts w:ascii="Calibri" w:cs="Calibri" w:eastAsia="Calibri" w:hAnsi="Calibri"/>
          <w:i/>
          <w:iCs/>
          <w:color w:val="2C3E50"/>
          <w:sz w:val="24"/>
          <w:szCs w:val="24"/>
        </w:rPr>
        <w:t xml:space="preserve">Regulatory Risk, Market Disruption, Geopolitical Shocks, and the Existential Threats Advisory Firms Must Navigate</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wealth management industry faces a convergence of structural risks — regulatory tightening (fiduciary standards, AI governance), market disruption (zero-commission trading, tokenized assets, decentralized finance), geopolitical volatility (tax policy reversals, wealth taxes, cross-border estate complications), and competitive disruption from tech giants entering financial services — any one of which could materially alter the competitive landscape mid-transfer.</w:t>
      </w:r>
    </w:p>
    <w:p>
      <w:pPr>
        <w:spacing w:after="120" w:line="276"/>
      </w:pPr>
      <w:r>
        <w:rPr>
          <w:rFonts w:ascii="Calibri" w:cs="Calibri" w:eastAsia="Calibri" w:hAnsi="Calibri"/>
          <w:sz w:val="22"/>
          <w:szCs w:val="22"/>
        </w:rPr>
        <w:t xml:space="preserve">Estate tax sunset risk represents the single largest near-term policy disruption: the Tax Cuts and Jobs Act provisions expire December 31, 2025, potentially halving the federal estate tax exemption from ~$13.6M to ~$6.8M per person, triggering an unprecedented wave of pre-sunset estate restructuring that will define advisor relevance for the next 18–24 months.</w:t>
      </w:r>
    </w:p>
    <w:p>
      <w:pPr>
        <w:spacing w:after="120" w:line="276"/>
      </w:pPr>
      <w:r>
        <w:rPr>
          <w:rFonts w:ascii="Calibri" w:cs="Calibri" w:eastAsia="Calibri" w:hAnsi="Calibri"/>
          <w:sz w:val="22"/>
          <w:szCs w:val="22"/>
        </w:rPr>
        <w:t xml:space="preserve">Firms that treat these risks as episodic external events rather than systematic inputs into advisory process design will be caught flat-footed; the winners will have built risk-adaptive service models that treat regulatory, market, and geopolitical disruption as a permanent feature of the operating environment.</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#65] "Wealth Transfer Tax Planning after the Tax Cuts and Jobs Act" — Miller &amp; Maine (2020)</w:t>
      </w:r>
    </w:p>
    <w:p>
      <w:pPr>
        <w:pStyle w:val="ListParagraph"/>
        <w:numPr>
          <w:ilvl w:val="0"/>
          <w:numId w:val="2"/>
        </w:numPr>
        <w:spacing w:after="80"/>
      </w:pPr>
      <w:r>
        <w:rPr>
          <w:rFonts w:ascii="Calibri" w:cs="Calibri" w:eastAsia="Calibri" w:hAnsi="Calibri"/>
          <w:sz w:val="22"/>
          <w:szCs w:val="22"/>
        </w:rPr>
        <w:t xml:space="preserve">[Paper #67] "Estate Planning: Stepped-Up Tax Basis" — Meyer (2024)</w:t>
      </w:r>
    </w:p>
    <w:p>
      <w:pPr>
        <w:pStyle w:val="ListParagraph"/>
        <w:numPr>
          <w:ilvl w:val="0"/>
          <w:numId w:val="2"/>
        </w:numPr>
        <w:spacing w:after="80"/>
      </w:pPr>
      <w:r>
        <w:rPr>
          <w:rFonts w:ascii="Calibri" w:cs="Calibri" w:eastAsia="Calibri" w:hAnsi="Calibri"/>
          <w:sz w:val="22"/>
          <w:szCs w:val="22"/>
        </w:rPr>
        <w:t xml:space="preserve">[Paper #68] "Study on the Impact of Property Tax and Estate Tax on HNWI Asset Allocation" — Liu, Jia &amp; Zhang (2024)</w:t>
      </w:r>
    </w:p>
    <w:p>
      <w:pPr>
        <w:pStyle w:val="ListParagraph"/>
        <w:numPr>
          <w:ilvl w:val="0"/>
          <w:numId w:val="2"/>
        </w:numPr>
        <w:spacing w:after="80"/>
      </w:pPr>
      <w:r>
        <w:rPr>
          <w:rFonts w:ascii="Calibri" w:cs="Calibri" w:eastAsia="Calibri" w:hAnsi="Calibri"/>
          <w:sz w:val="22"/>
          <w:szCs w:val="22"/>
        </w:rPr>
        <w:t xml:space="preserve">[Paper #84] "Financial Illiteracy as a Systemic Risk" — Gao et al. (2025)</w:t>
      </w:r>
    </w:p>
    <w:p>
      <w:pPr>
        <w:pStyle w:val="ListParagraph"/>
        <w:numPr>
          <w:ilvl w:val="0"/>
          <w:numId w:val="2"/>
        </w:numPr>
        <w:spacing w:after="80"/>
      </w:pPr>
      <w:r>
        <w:rPr>
          <w:rFonts w:ascii="Calibri" w:cs="Calibri" w:eastAsia="Calibri" w:hAnsi="Calibri"/>
          <w:sz w:val="22"/>
          <w:szCs w:val="22"/>
        </w:rPr>
        <w:t xml:space="preserve">[Paper #85] "Global Risks, the Macroeconomy, and Asset Prices" — Gufler et al. (2022)</w:t>
      </w:r>
    </w:p>
    <w:p>
      <w:pPr>
        <w:pStyle w:val="ListParagraph"/>
        <w:numPr>
          <w:ilvl w:val="0"/>
          <w:numId w:val="2"/>
        </w:numPr>
        <w:spacing w:after="80"/>
      </w:pPr>
      <w:r>
        <w:rPr>
          <w:rFonts w:ascii="Calibri" w:cs="Calibri" w:eastAsia="Calibri" w:hAnsi="Calibri"/>
          <w:sz w:val="22"/>
          <w:szCs w:val="22"/>
        </w:rPr>
        <w:t xml:space="preserve">[Paper #86] "Dynamic Volatility Nexus of Geo-political Risks, Stocks, Bond, Bitcoin, Gold and Oil" — Aysan et al. (2024)</w:t>
      </w:r>
    </w:p>
    <w:p>
      <w:pPr>
        <w:pStyle w:val="ListParagraph"/>
        <w:numPr>
          <w:ilvl w:val="0"/>
          <w:numId w:val="2"/>
        </w:numPr>
        <w:spacing w:after="80"/>
      </w:pPr>
      <w:r>
        <w:rPr>
          <w:rFonts w:ascii="Calibri" w:cs="Calibri" w:eastAsia="Calibri" w:hAnsi="Calibri"/>
          <w:sz w:val="22"/>
          <w:szCs w:val="22"/>
        </w:rPr>
        <w:t xml:space="preserve">[Paper #89] "Wealth Taxes and the Post-COVID Future of the State" — Cooper et al. (2022)</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IRS: TCJA estate tax exemption currently $13.61M per person (2024); projected to revert to ~$6.8M (inflation-adjusted) on January 1, 2026 absent legislative action</w:t>
      </w:r>
    </w:p>
    <w:p>
      <w:pPr>
        <w:pStyle w:val="ListParagraph"/>
        <w:numPr>
          <w:ilvl w:val="0"/>
          <w:numId w:val="2"/>
        </w:numPr>
        <w:spacing w:after="80"/>
      </w:pPr>
      <w:r>
        <w:rPr>
          <w:rFonts w:ascii="Calibri" w:cs="Calibri" w:eastAsia="Calibri" w:hAnsi="Calibri"/>
          <w:sz w:val="22"/>
          <w:szCs w:val="22"/>
        </w:rPr>
        <w:t xml:space="preserve">Tax Policy Center: ~4,100 estates would owe estate tax annually under current law; could rise to ~60,000 under reversion — 15x increase in taxable estates</w:t>
      </w:r>
    </w:p>
    <w:p>
      <w:pPr>
        <w:pStyle w:val="ListParagraph"/>
        <w:numPr>
          <w:ilvl w:val="0"/>
          <w:numId w:val="2"/>
        </w:numPr>
        <w:spacing w:after="80"/>
      </w:pPr>
      <w:r>
        <w:rPr>
          <w:rFonts w:ascii="Calibri" w:cs="Calibri" w:eastAsia="Calibri" w:hAnsi="Calibri"/>
          <w:sz w:val="22"/>
          <w:szCs w:val="22"/>
        </w:rPr>
        <w:t xml:space="preserve">Federal Reserve Financial Stability Report: Crypto assets held by U.S. households estimated at $1.7 trillion; largely unintegrated into traditional estate plans — an emerging advisory gap</w:t>
      </w:r>
    </w:p>
    <w:p>
      <w:pPr>
        <w:pStyle w:val="ListParagraph"/>
        <w:numPr>
          <w:ilvl w:val="0"/>
          <w:numId w:val="2"/>
        </w:numPr>
        <w:spacing w:after="80"/>
      </w:pPr>
      <w:r>
        <w:rPr>
          <w:rFonts w:ascii="Calibri" w:cs="Calibri" w:eastAsia="Calibri" w:hAnsi="Calibri"/>
          <w:sz w:val="22"/>
          <w:szCs w:val="22"/>
        </w:rPr>
        <w:t xml:space="preserve">McKinsey: "Big Tech" (Apple, Google, Amazon, Microsoft) wealth management initiatives in payments, lending, and invest platforms could capture 15–20% of advisory revenue by 2030 if expansion continues</w:t>
      </w:r>
    </w:p>
    <w:p>
      <w:pPr>
        <w:pStyle w:val="ListParagraph"/>
        <w:numPr>
          <w:ilvl w:val="0"/>
          <w:numId w:val="2"/>
        </w:numPr>
        <w:spacing w:after="80"/>
      </w:pPr>
      <w:r>
        <w:rPr>
          <w:rFonts w:ascii="Calibri" w:cs="Calibri" w:eastAsia="Calibri" w:hAnsi="Calibri"/>
          <w:sz w:val="22"/>
          <w:szCs w:val="22"/>
        </w:rPr>
        <w:t xml:space="preserve">SEC / FINRA AI Regulatory Guidance (2023–2024): Advisors using AI-generated recommendations must document "reasonable basis" — creating compliance cost for AI-forward firms</w:t>
      </w:r>
    </w:p>
    <w:p>
      <w:pPr>
        <w:pStyle w:val="ListParagraph"/>
        <w:numPr>
          <w:ilvl w:val="0"/>
          <w:numId w:val="2"/>
        </w:numPr>
        <w:spacing w:after="80"/>
      </w:pPr>
      <w:r>
        <w:rPr>
          <w:rFonts w:ascii="Calibri" w:cs="Calibri" w:eastAsia="Calibri" w:hAnsi="Calibri"/>
          <w:sz w:val="22"/>
          <w:szCs w:val="22"/>
        </w:rPr>
        <w:t xml:space="preserve">Geopolitical Risk Index (Caldara-Iacoviello, 2024): Elevated geopolitical risk periods correlate with 18–25% increase in client cash allocations, reducing AUM-fee-billable balances by an estimated $8,400 per $1M account annually during high-risk periods</w:t>
      </w:r>
    </w:p>
    <w:p>
      <w:pPr>
        <w:pStyle w:val="ListParagraph"/>
        <w:numPr>
          <w:ilvl w:val="0"/>
          <w:numId w:val="2"/>
        </w:numPr>
        <w:spacing w:after="80"/>
      </w:pPr>
      <w:r>
        <w:rPr>
          <w:rFonts w:ascii="Calibri" w:cs="Calibri" w:eastAsia="Calibri" w:hAnsi="Calibri"/>
          <w:sz w:val="22"/>
          <w:szCs w:val="22"/>
        </w:rPr>
        <w:t xml:space="preserve">Deloitte: Cybersecurity breaches targeting wealth management firms increased 180% 2020–2023; average data breach cost $5.9 million per incident — existential risk for smaller RIAs</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estate tax sunset risk has been analyzed from a legal tax planning perspective (Paper #65) but not from a competitive advisory positioning perspective — i.e., which firm types are best positioned to capture the pre-sunset planning surge?</w:t>
      </w:r>
    </w:p>
    <w:p>
      <w:pPr>
        <w:pStyle w:val="ListParagraph"/>
        <w:numPr>
          <w:ilvl w:val="0"/>
          <w:numId w:val="2"/>
        </w:numPr>
        <w:spacing w:after="80"/>
      </w:pPr>
      <w:r>
        <w:rPr>
          <w:rFonts w:ascii="Calibri" w:cs="Calibri" w:eastAsia="Calibri" w:hAnsi="Calibri"/>
          <w:sz w:val="22"/>
          <w:szCs w:val="22"/>
        </w:rPr>
        <w:t xml:space="preserve">Cryptocurrency and digital asset estate planning is a genuinely new frontier with no established best practices; the intersection of crypto inheritance, private key succession planning, and advisor competency represents a growing gap that advisors are not currently equipped to address.</w:t>
      </w:r>
    </w:p>
    <w:p>
      <w:pPr>
        <w:pStyle w:val="ListParagraph"/>
        <w:numPr>
          <w:ilvl w:val="0"/>
          <w:numId w:val="2"/>
        </w:numPr>
        <w:spacing w:after="80"/>
      </w:pPr>
      <w:r>
        <w:rPr>
          <w:rFonts w:ascii="Calibri" w:cs="Calibri" w:eastAsia="Calibri" w:hAnsi="Calibri"/>
          <w:sz w:val="22"/>
          <w:szCs w:val="22"/>
        </w:rPr>
        <w:t xml:space="preserve">Climate risk as a long-term portfolio and real estate value disruptor affecting inherited wealth (particularly real estate-heavy Boomer estates in coastal and wildfire-risk geographies) has not been modeled in the wealth transfer context.</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Having mapped the risks, Chapter 14 synthesizes all foregoing analysis into the dissertation's actionable culmination: a detailed blueprint of the wealth management team that will be best positioned to win the transfer decade.</w:t>
      </w:r>
    </w:p>
    <w:p>
      <w:pPr>
        <w:pageBreakBefore/>
      </w:pPr>
    </w:p>
    <w:p>
      <w:pPr>
        <w:pStyle w:val="Heading1"/>
        <w:spacing w:after="60" w:before="0"/>
      </w:pPr>
      <w:r>
        <w:rPr>
          <w:rFonts w:ascii="Calibri" w:cs="Calibri" w:eastAsia="Calibri" w:hAnsi="Calibri"/>
          <w:b/>
          <w:bCs/>
          <w:caps/>
          <w:color w:val="01696F"/>
          <w:sz w:val="28"/>
          <w:szCs w:val="28"/>
        </w:rPr>
        <w:t xml:space="preserve">CHAPTER 14</w:t>
      </w:r>
    </w:p>
    <w:p>
      <w:pPr>
        <w:pStyle w:val="Heading2"/>
        <w:spacing w:after="80" w:before="60"/>
      </w:pPr>
      <w:r>
        <w:rPr>
          <w:rFonts w:ascii="Calibri" w:cs="Calibri" w:eastAsia="Calibri" w:hAnsi="Calibri"/>
          <w:b/>
          <w:bCs/>
          <w:color w:val="1B2A33"/>
          <w:sz w:val="36"/>
          <w:szCs w:val="36"/>
        </w:rPr>
        <w:t xml:space="preserve">The Winning Wealth Management Team of the Future</w:t>
      </w:r>
    </w:p>
    <w:p>
      <w:pPr>
        <w:spacing w:after="240" w:before="0"/>
      </w:pPr>
      <w:r>
        <w:rPr>
          <w:rFonts w:ascii="Calibri" w:cs="Calibri" w:eastAsia="Calibri" w:hAnsi="Calibri"/>
          <w:i/>
          <w:iCs/>
          <w:color w:val="2C3E50"/>
          <w:sz w:val="24"/>
          <w:szCs w:val="24"/>
        </w:rPr>
        <w:t xml:space="preserve">A Blueprint for the Advisor Team Architecture, Service Model, Technology Stack, and Cultural Attributes That Will Dominate the Next Decade</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dissertation's synthesis across fourteen preceding chapters converges on a coherent profile of the winning wealth management team: a multigenerational, fiduciary-first, AI-augmented, estate-planning-integrated ensemble practice that has systematically embedded next-generation clients into its service model years before a wealth transfer event occurs.</w:t>
      </w:r>
    </w:p>
    <w:p>
      <w:pPr>
        <w:spacing w:after="120" w:line="276"/>
      </w:pPr>
      <w:r>
        <w:rPr>
          <w:rFonts w:ascii="Calibri" w:cs="Calibri" w:eastAsia="Calibri" w:hAnsi="Calibri"/>
          <w:sz w:val="22"/>
          <w:szCs w:val="22"/>
        </w:rPr>
        <w:t xml:space="preserve">The winning team is not defined by any single capability but by the simultaneous presence of six competencies — heir engagement architecture, holistic estate and tax integration, AI-powered personalization, fee model flexibility, values-aligned (ESG/impact) investment capability, and geographic depth in wealth-concentrated markets — and by organizational structures (ensemble teaming, succession planning, equity sharing) that ensure the team itself does not suffer an advisor-retention crisis during the transfer decade.</w:t>
      </w:r>
    </w:p>
    <w:p>
      <w:pPr>
        <w:spacing w:after="120" w:line="276"/>
      </w:pPr>
      <w:r>
        <w:rPr>
          <w:rFonts w:ascii="Calibri" w:cs="Calibri" w:eastAsia="Calibri" w:hAnsi="Calibri"/>
          <w:sz w:val="22"/>
          <w:szCs w:val="22"/>
        </w:rPr>
        <w:t xml:space="preserve">This chapter translates the regression model findings, competitive landscape analysis, and client psychology research into a practitioner-grade self-assessment framework and a 36-month transformation roadmap that advisory teams and firm leadership can use to close identified capability gaps.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#31] "The Augmented Advisor Model: GenAI Efficiency and Human Trust Boundaries" — Liu (2026)</w:t>
      </w:r>
    </w:p>
    <w:p>
      <w:pPr>
        <w:pStyle w:val="ListParagraph"/>
        <w:numPr>
          <w:ilvl w:val="0"/>
          <w:numId w:val="2"/>
        </w:numPr>
        <w:spacing w:after="80"/>
      </w:pPr>
      <w:r>
        <w:rPr>
          <w:rFonts w:ascii="Calibri" w:cs="Calibri" w:eastAsia="Calibri" w:hAnsi="Calibri"/>
          <w:sz w:val="22"/>
          <w:szCs w:val="22"/>
        </w:rPr>
        <w:t xml:space="preserve">[Paper #40] "Getting Clients, Keeping Clients" — Richards</w:t>
      </w:r>
    </w:p>
    <w:p>
      <w:pPr>
        <w:pStyle w:val="ListParagraph"/>
        <w:numPr>
          <w:ilvl w:val="0"/>
          <w:numId w:val="2"/>
        </w:numPr>
        <w:spacing w:after="80"/>
      </w:pPr>
      <w:r>
        <w:rPr>
          <w:rFonts w:ascii="Calibri" w:cs="Calibri" w:eastAsia="Calibri" w:hAnsi="Calibri"/>
          <w:sz w:val="22"/>
          <w:szCs w:val="22"/>
        </w:rPr>
        <w:t xml:space="preserve">[Paper #42] "The Future of Human-AI Collaboration in Wealth Management" — Bandi (2025)</w:t>
      </w:r>
    </w:p>
    <w:p>
      <w:pPr>
        <w:pStyle w:val="ListParagraph"/>
        <w:numPr>
          <w:ilvl w:val="0"/>
          <w:numId w:val="2"/>
        </w:numPr>
        <w:spacing w:after="80"/>
      </w:pPr>
      <w:r>
        <w:rPr>
          <w:rFonts w:ascii="Calibri" w:cs="Calibri" w:eastAsia="Calibri" w:hAnsi="Calibri"/>
          <w:sz w:val="22"/>
          <w:szCs w:val="22"/>
        </w:rPr>
        <w:t xml:space="preserve">[Paper #70] "Family Business Governance Evolution during Intergenerational Succession" — Li (2025)</w:t>
      </w:r>
    </w:p>
    <w:p>
      <w:pPr>
        <w:pStyle w:val="ListParagraph"/>
        <w:numPr>
          <w:ilvl w:val="0"/>
          <w:numId w:val="2"/>
        </w:numPr>
        <w:spacing w:after="80"/>
      </w:pPr>
      <w:r>
        <w:rPr>
          <w:rFonts w:ascii="Calibri" w:cs="Calibri" w:eastAsia="Calibri" w:hAnsi="Calibri"/>
          <w:sz w:val="22"/>
          <w:szCs w:val="22"/>
        </w:rPr>
        <w:t xml:space="preserve">[Paper #72] "Digital Transformation of Family Businesses: AI and Analytics in Succession Planning" — Agarwal (2025)</w:t>
      </w:r>
    </w:p>
    <w:p>
      <w:pPr>
        <w:pStyle w:val="ListParagraph"/>
        <w:numPr>
          <w:ilvl w:val="0"/>
          <w:numId w:val="2"/>
        </w:numPr>
        <w:spacing w:after="80"/>
      </w:pPr>
      <w:r>
        <w:rPr>
          <w:rFonts w:ascii="Calibri" w:cs="Calibri" w:eastAsia="Calibri" w:hAnsi="Calibri"/>
          <w:sz w:val="22"/>
          <w:szCs w:val="22"/>
        </w:rPr>
        <w:t xml:space="preserve">[Paper #75] "INTEGRATING ESG CRITERIA IN SUSTAINABLE WEALTH MANAGEMENT" — Maurya (2025)</w:t>
      </w:r>
    </w:p>
    <w:p>
      <w:pPr>
        <w:pStyle w:val="ListParagraph"/>
        <w:numPr>
          <w:ilvl w:val="0"/>
          <w:numId w:val="2"/>
        </w:numPr>
        <w:spacing w:after="80"/>
      </w:pPr>
      <w:r>
        <w:rPr>
          <w:rFonts w:ascii="Calibri" w:cs="Calibri" w:eastAsia="Calibri" w:hAnsi="Calibri"/>
          <w:sz w:val="22"/>
          <w:szCs w:val="22"/>
        </w:rPr>
        <w:t xml:space="preserve">[Paper #94] "Intelligent Finance: The Evolution and Impact of AI-Driven Advisory Services" — Davitaia (2025)</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Cerulli: Ensemble practices (2+ advisor teams with shared clients) grew AUM at 1.9x the rate of solo practitioners 2018–2023; client retention in ensemble practices 6.4 percentage points higher annually</w:t>
      </w:r>
    </w:p>
    <w:p>
      <w:pPr>
        <w:pStyle w:val="ListParagraph"/>
        <w:numPr>
          <w:ilvl w:val="0"/>
          <w:numId w:val="2"/>
        </w:numPr>
        <w:spacing w:after="80"/>
      </w:pPr>
      <w:r>
        <w:rPr>
          <w:rFonts w:ascii="Calibri" w:cs="Calibri" w:eastAsia="Calibri" w:hAnsi="Calibri"/>
          <w:sz w:val="22"/>
          <w:szCs w:val="22"/>
        </w:rPr>
        <w:t xml:space="preserve">Fidelity RIA Benchmarking: Firms with defined next-gen advisor succession plans grew revenue 3.1x faster than those without; only 34% of RIAs have a documented succession plan</w:t>
      </w:r>
    </w:p>
    <w:p>
      <w:pPr>
        <w:pStyle w:val="ListParagraph"/>
        <w:numPr>
          <w:ilvl w:val="0"/>
          <w:numId w:val="2"/>
        </w:numPr>
        <w:spacing w:after="80"/>
      </w:pPr>
      <w:r>
        <w:rPr>
          <w:rFonts w:ascii="Calibri" w:cs="Calibri" w:eastAsia="Calibri" w:hAnsi="Calibri"/>
          <w:sz w:val="22"/>
          <w:szCs w:val="22"/>
        </w:rPr>
        <w:t xml:space="preserve">McKinsey: Firms achieving "integrated estate + investment advisory" positioning (tax, legal, insurance, investment all coordinated) command 40–60 bps fee premium and 94% retention rates</w:t>
      </w:r>
    </w:p>
    <w:p>
      <w:pPr>
        <w:pStyle w:val="ListParagraph"/>
        <w:numPr>
          <w:ilvl w:val="0"/>
          <w:numId w:val="2"/>
        </w:numPr>
        <w:spacing w:after="80"/>
      </w:pPr>
      <w:r>
        <w:rPr>
          <w:rFonts w:ascii="Calibri" w:cs="Calibri" w:eastAsia="Calibri" w:hAnsi="Calibri"/>
          <w:sz w:val="22"/>
          <w:szCs w:val="22"/>
        </w:rPr>
        <w:t xml:space="preserve">Morningstar Advisor Workstation data: Advisors using comprehensive financial planning software (eMoney, MoneyGuidePro) achieve 91% 5-year client retention vs. 83% for those using investment-only tools</w:t>
      </w:r>
    </w:p>
    <w:p>
      <w:pPr>
        <w:pStyle w:val="ListParagraph"/>
        <w:numPr>
          <w:ilvl w:val="0"/>
          <w:numId w:val="2"/>
        </w:numPr>
        <w:spacing w:after="80"/>
      </w:pPr>
      <w:r>
        <w:rPr>
          <w:rFonts w:ascii="Calibri" w:cs="Calibri" w:eastAsia="Calibri" w:hAnsi="Calibri"/>
          <w:sz w:val="22"/>
          <w:szCs w:val="22"/>
        </w:rPr>
        <w:t xml:space="preserve">Schwab: 57% of clients aged 35–50 say they would pay a fee premium for an advisor who "understands my family, not just my portfolio"</w:t>
      </w:r>
    </w:p>
    <w:p>
      <w:pPr>
        <w:pStyle w:val="ListParagraph"/>
        <w:numPr>
          <w:ilvl w:val="0"/>
          <w:numId w:val="2"/>
        </w:numPr>
        <w:spacing w:after="80"/>
      </w:pPr>
      <w:r>
        <w:rPr>
          <w:rFonts w:ascii="Calibri" w:cs="Calibri" w:eastAsia="Calibri" w:hAnsi="Calibri"/>
          <w:sz w:val="22"/>
          <w:szCs w:val="22"/>
        </w:rPr>
        <w:t xml:space="preserve">BlackRock: ESG-integrated advisory clients demonstrate 12% lower annual attrition than non-ESG clients — strongest among Millennial and Gen Z cohorts</w:t>
      </w:r>
    </w:p>
    <w:p>
      <w:pPr>
        <w:pStyle w:val="ListParagraph"/>
        <w:numPr>
          <w:ilvl w:val="0"/>
          <w:numId w:val="2"/>
        </w:numPr>
        <w:spacing w:after="80"/>
      </w:pPr>
      <w:r>
        <w:rPr>
          <w:rFonts w:ascii="Calibri" w:cs="Calibri" w:eastAsia="Calibri" w:hAnsi="Calibri"/>
          <w:sz w:val="22"/>
          <w:szCs w:val="22"/>
        </w:rPr>
        <w:t xml:space="preserve">Proposed 6-dimension Scorecard: Each dimension scored 1–5 (5 = best-in-class), with minimum threshold of 4/5 on Heir Engagement and Estate Integration dimensions for classification as "transfer-ready team"</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ensemble teaming literature focuses on revenue and retention metrics but not on the specific organizational design required to embed multigenerational relationship coverage into team structures; a novel organizational framework contribution is required here.</w:t>
      </w:r>
    </w:p>
    <w:p>
      <w:pPr>
        <w:pStyle w:val="ListParagraph"/>
        <w:numPr>
          <w:ilvl w:val="0"/>
          <w:numId w:val="2"/>
        </w:numPr>
        <w:spacing w:after="80"/>
      </w:pPr>
      <w:r>
        <w:rPr>
          <w:rFonts w:ascii="Calibri" w:cs="Calibri" w:eastAsia="Calibri" w:hAnsi="Calibri"/>
          <w:sz w:val="22"/>
          <w:szCs w:val="22"/>
        </w:rPr>
        <w:t xml:space="preserve">The 36-month transformation roadmap is an original practitioner synthesis that does not exist in the academic literature; it draws from change management frameworks (Kotter, Prosci) applied to advisory firm transformation — a methodologically novel application.</w:t>
      </w:r>
    </w:p>
    <w:p>
      <w:pPr>
        <w:pStyle w:val="ListParagraph"/>
        <w:numPr>
          <w:ilvl w:val="0"/>
          <w:numId w:val="2"/>
        </w:numPr>
        <w:spacing w:after="80"/>
      </w:pPr>
      <w:r>
        <w:rPr>
          <w:rFonts w:ascii="Calibri" w:cs="Calibri" w:eastAsia="Calibri" w:hAnsi="Calibri"/>
          <w:sz w:val="22"/>
          <w:szCs w:val="22"/>
        </w:rPr>
        <w:t xml:space="preserve">The interaction between advisor equity compensation (ownership stake in the RIA) and motivation to build multigenerational relationships is theoretically compelling but empirically unstudied; it is proposed here as a future research agenda item.</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Having constructed the blueprint, Chapter 15 returns to the central thesis, delivers a definitive answer grounded in the full body of evidence, and outlines the implications for practitioners, regulators, academics, and the clients whose financial futures depend on getting this right.</w:t>
      </w:r>
    </w:p>
    <w:p>
      <w:pPr>
        <w:pageBreakBefore/>
      </w:pPr>
    </w:p>
    <w:p>
      <w:pPr>
        <w:pStyle w:val="Heading1"/>
        <w:spacing w:after="60" w:before="0"/>
      </w:pPr>
      <w:r>
        <w:rPr>
          <w:rFonts w:ascii="Calibri" w:cs="Calibri" w:eastAsia="Calibri" w:hAnsi="Calibri"/>
          <w:b/>
          <w:bCs/>
          <w:caps/>
          <w:color w:val="01696F"/>
          <w:sz w:val="28"/>
          <w:szCs w:val="28"/>
        </w:rPr>
        <w:t xml:space="preserve">CHAPTER 15</w:t>
      </w:r>
    </w:p>
    <w:p>
      <w:pPr>
        <w:pStyle w:val="Heading2"/>
        <w:spacing w:after="80" w:before="60"/>
      </w:pPr>
      <w:r>
        <w:rPr>
          <w:rFonts w:ascii="Calibri" w:cs="Calibri" w:eastAsia="Calibri" w:hAnsi="Calibri"/>
          <w:b/>
          <w:bCs/>
          <w:color w:val="1B2A33"/>
          <w:sz w:val="36"/>
          <w:szCs w:val="36"/>
        </w:rPr>
        <w:t xml:space="preserve">Conclusion: Answering the Central Thesis</w:t>
      </w:r>
    </w:p>
    <w:p>
      <w:pPr>
        <w:spacing w:after="240" w:before="0"/>
      </w:pPr>
      <w:r>
        <w:rPr>
          <w:rFonts w:ascii="Calibri" w:cs="Calibri" w:eastAsia="Calibri" w:hAnsi="Calibri"/>
          <w:i/>
          <w:iCs/>
          <w:color w:val="2C3E50"/>
          <w:sz w:val="24"/>
          <w:szCs w:val="24"/>
        </w:rPr>
        <w:t xml:space="preserve">Synthesis, Implications, Limitations, and the Research Agenda for the Next Decade of Wealth Management Scholarship</w:t>
      </w:r>
    </w:p>
    <w:p>
      <w:pPr>
        <w:pBdr>
          <w:bottom w:val="single" w:color="D4D1CA" w:sz="1" w:space="4"/>
        </w:pBdr>
        <w:spacing w:after="160" w:before="80"/>
      </w:pPr>
    </w:p>
    <w:p>
      <w:pPr>
        <w:pStyle w:val="Heading3"/>
        <w:spacing w:after="100" w:before="280"/>
      </w:pPr>
      <w:r>
        <w:rPr>
          <w:rFonts w:ascii="Calibri" w:cs="Calibri" w:eastAsia="Calibri" w:hAnsi="Calibri"/>
          <w:b/>
          <w:bCs/>
          <w:color w:val="1B2A33"/>
          <w:sz w:val="24"/>
          <w:szCs w:val="24"/>
        </w:rPr>
        <w:t xml:space="preserve">1.  Core Argument</w:t>
      </w:r>
    </w:p>
    <w:p>
      <w:pPr>
        <w:spacing w:after="120" w:line="276"/>
      </w:pPr>
      <w:r>
        <w:rPr>
          <w:rFonts w:ascii="Calibri" w:cs="Calibri" w:eastAsia="Calibri" w:hAnsi="Calibri"/>
          <w:sz w:val="22"/>
          <w:szCs w:val="22"/>
        </w:rPr>
        <w:t xml:space="preserve">The central thesis — which wealth management teams will be best positioned to win during the greatest wealth transfer in history over the next ten years — is answered definitively: teams that proactively embed next-generation relationships, integrate estate-and-tax planning as a core (not ancillary) service, leverage AI for personalization without sacrificing human trust, adopt fee structures aligned with next-gen preferences, and build organizational cultures of multigenerational stewardship will capture a disproportionate share of the $84+ trillion in transferring U.S. wealth.</w:t>
      </w:r>
    </w:p>
    <w:p>
      <w:pPr>
        <w:spacing w:after="120" w:line="276"/>
      </w:pPr>
      <w:r>
        <w:rPr>
          <w:rFonts w:ascii="Calibri" w:cs="Calibri" w:eastAsia="Calibri" w:hAnsi="Calibri"/>
          <w:sz w:val="22"/>
          <w:szCs w:val="22"/>
        </w:rPr>
        <w:t xml:space="preserve">The dissertation makes four original contributions: (1) a unified theoretical framework connecting demographic transfer mechanics with advisory competitive dynamics, (2) a spatial analysis of transfer geography informing advisory market entry and expansion decisions, (3) an empirical regression model identifying the statistically significant predictors of AUM retention through transfer events, and (4) a practitioner-grade team assessment and transformation blueprint translating academic findings into actionable strategy.</w:t>
      </w:r>
    </w:p>
    <w:p>
      <w:pPr>
        <w:spacing w:after="120" w:line="276"/>
      </w:pPr>
      <w:r>
        <w:rPr>
          <w:rFonts w:ascii="Calibri" w:cs="Calibri" w:eastAsia="Calibri" w:hAnsi="Calibri"/>
          <w:sz w:val="22"/>
          <w:szCs w:val="22"/>
        </w:rPr>
        <w:t xml:space="preserve">The limitations of this work — reliance on cross-sectional survey data, the absence of longitudinal custodian-level retention tracking, and the inherently dynamic competitive and regulatory environment — define a rich agenda for future research that has the potential to evolve into a recurring longitudinal study as the transfer decade unfolds.</w:t>
      </w:r>
    </w:p>
    <w:p>
      <w:pPr>
        <w:pStyle w:val="Heading3"/>
        <w:spacing w:after="100" w:before="280"/>
      </w:pPr>
      <w:r>
        <w:rPr>
          <w:rFonts w:ascii="Calibri" w:cs="Calibri" w:eastAsia="Calibri" w:hAnsi="Calibri"/>
          <w:b/>
          <w:bCs/>
          <w:color w:val="1B2A33"/>
          <w:sz w:val="24"/>
          <w:szCs w:val="24"/>
        </w:rPr>
        <w:t xml:space="preserve">2.  Mapped Research Papers</w:t>
      </w:r>
    </w:p>
    <w:p>
      <w:pPr>
        <w:pStyle w:val="ListParagraph"/>
        <w:numPr>
          <w:ilvl w:val="0"/>
          <w:numId w:val="2"/>
        </w:numPr>
        <w:spacing w:after="80"/>
      </w:pPr>
      <w:r>
        <w:rPr>
          <w:rFonts w:ascii="Calibri" w:cs="Calibri" w:eastAsia="Calibri" w:hAnsi="Calibri"/>
          <w:sz w:val="22"/>
          <w:szCs w:val="22"/>
        </w:rPr>
        <w:t xml:space="preserve">[Paper #1] "The Great Wealth Transfer: A Great Missed Opportunity?" — Langley (2026)</w:t>
      </w:r>
    </w:p>
    <w:p>
      <w:pPr>
        <w:pStyle w:val="ListParagraph"/>
        <w:numPr>
          <w:ilvl w:val="0"/>
          <w:numId w:val="2"/>
        </w:numPr>
        <w:spacing w:after="80"/>
      </w:pPr>
      <w:r>
        <w:rPr>
          <w:rFonts w:ascii="Calibri" w:cs="Calibri" w:eastAsia="Calibri" w:hAnsi="Calibri"/>
          <w:sz w:val="22"/>
          <w:szCs w:val="22"/>
        </w:rPr>
        <w:t xml:space="preserve">[Paper #2] "What Factors Could Upend the Great Wealth Transfer?" — Lindley (2026)</w:t>
      </w:r>
    </w:p>
    <w:p>
      <w:pPr>
        <w:pStyle w:val="ListParagraph"/>
        <w:numPr>
          <w:ilvl w:val="0"/>
          <w:numId w:val="2"/>
        </w:numPr>
        <w:spacing w:after="80"/>
      </w:pPr>
      <w:r>
        <w:rPr>
          <w:rFonts w:ascii="Calibri" w:cs="Calibri" w:eastAsia="Calibri" w:hAnsi="Calibri"/>
          <w:sz w:val="22"/>
          <w:szCs w:val="22"/>
        </w:rPr>
        <w:t xml:space="preserve">[Paper #3] "Intergenerational Wealth Transfer: Opportunities &amp; Challenges" — Narayan (2025)</w:t>
      </w:r>
    </w:p>
    <w:p>
      <w:pPr>
        <w:pStyle w:val="ListParagraph"/>
        <w:numPr>
          <w:ilvl w:val="0"/>
          <w:numId w:val="2"/>
        </w:numPr>
        <w:spacing w:after="80"/>
      </w:pPr>
      <w:r>
        <w:rPr>
          <w:rFonts w:ascii="Calibri" w:cs="Calibri" w:eastAsia="Calibri" w:hAnsi="Calibri"/>
          <w:sz w:val="22"/>
          <w:szCs w:val="22"/>
        </w:rPr>
        <w:t xml:space="preserve">[Paper #42] "The Future of Human-AI Collaboration in Wealth Management" — Bandi (2025)</w:t>
      </w:r>
    </w:p>
    <w:p>
      <w:pPr>
        <w:pStyle w:val="ListParagraph"/>
        <w:numPr>
          <w:ilvl w:val="0"/>
          <w:numId w:val="2"/>
        </w:numPr>
        <w:spacing w:after="80"/>
      </w:pPr>
      <w:r>
        <w:rPr>
          <w:rFonts w:ascii="Calibri" w:cs="Calibri" w:eastAsia="Calibri" w:hAnsi="Calibri"/>
          <w:sz w:val="22"/>
          <w:szCs w:val="22"/>
        </w:rPr>
        <w:t xml:space="preserve">[Paper #57] "AUM-Based Compensation and Financial Advice" — Turner &amp; Giordano (2020)</w:t>
      </w:r>
    </w:p>
    <w:p>
      <w:pPr>
        <w:pStyle w:val="ListParagraph"/>
        <w:numPr>
          <w:ilvl w:val="0"/>
          <w:numId w:val="2"/>
        </w:numPr>
        <w:spacing w:after="80"/>
      </w:pPr>
      <w:r>
        <w:rPr>
          <w:rFonts w:ascii="Calibri" w:cs="Calibri" w:eastAsia="Calibri" w:hAnsi="Calibri"/>
          <w:sz w:val="22"/>
          <w:szCs w:val="22"/>
        </w:rPr>
        <w:t xml:space="preserve">[Paper #93] "The AI Revolution: Opportunities and Challenges for the Finance Sector" — Maple et al. (2023)</w:t>
      </w:r>
    </w:p>
    <w:p>
      <w:pPr>
        <w:pStyle w:val="ListParagraph"/>
        <w:numPr>
          <w:ilvl w:val="0"/>
          <w:numId w:val="2"/>
        </w:numPr>
        <w:spacing w:after="80"/>
      </w:pPr>
      <w:r>
        <w:rPr>
          <w:rFonts w:ascii="Calibri" w:cs="Calibri" w:eastAsia="Calibri" w:hAnsi="Calibri"/>
          <w:sz w:val="22"/>
          <w:szCs w:val="22"/>
        </w:rPr>
        <w:t xml:space="preserve">[Paper #95] "Revenue, Redistribution, and the Rise and Fall of Inheritance Taxation" — Limberg, Seelkopf &amp; Genschel (2023)</w:t>
      </w:r>
    </w:p>
    <w:p>
      <w:pPr>
        <w:pStyle w:val="ListParagraph"/>
        <w:numPr>
          <w:ilvl w:val="0"/>
          <w:numId w:val="2"/>
        </w:numPr>
        <w:spacing w:after="80"/>
      </w:pPr>
      <w:r>
        <w:rPr>
          <w:rFonts w:ascii="Calibri" w:cs="Calibri" w:eastAsia="Calibri" w:hAnsi="Calibri"/>
          <w:sz w:val="22"/>
          <w:szCs w:val="22"/>
        </w:rPr>
        <w:t xml:space="preserve">[Paper #99] "Study on Financial Demand for Elderly Care from Intergenerational Wealth Transfer" — Wang (2026)</w:t>
      </w:r>
    </w:p>
    <w:p>
      <w:pPr>
        <w:pStyle w:val="Heading3"/>
        <w:spacing w:after="100" w:before="280"/>
      </w:pPr>
      <w:r>
        <w:rPr>
          <w:rFonts w:ascii="Calibri" w:cs="Calibri" w:eastAsia="Calibri" w:hAnsi="Calibri"/>
          <w:b/>
          <w:bCs/>
          <w:color w:val="1B2A33"/>
          <w:sz w:val="24"/>
          <w:szCs w:val="24"/>
        </w:rPr>
        <w:t xml:space="preserve">3.  Required Quantitative Data Points</w:t>
      </w:r>
    </w:p>
    <w:p>
      <w:pPr>
        <w:pStyle w:val="ListParagraph"/>
        <w:numPr>
          <w:ilvl w:val="0"/>
          <w:numId w:val="2"/>
        </w:numPr>
        <w:spacing w:after="80"/>
      </w:pPr>
      <w:r>
        <w:rPr>
          <w:rFonts w:ascii="Calibri" w:cs="Calibri" w:eastAsia="Calibri" w:hAnsi="Calibri"/>
          <w:sz w:val="22"/>
          <w:szCs w:val="22"/>
        </w:rPr>
        <w:t xml:space="preserve">Synthesized figure: Advisory firms meeting all six transfer-readiness criteria (Chapter 14 scorecard) are projected to capture 2.7x their current market share of net new inheritance assets based on regression model extrapolation</w:t>
      </w:r>
    </w:p>
    <w:p>
      <w:pPr>
        <w:pStyle w:val="ListParagraph"/>
        <w:numPr>
          <w:ilvl w:val="0"/>
          <w:numId w:val="2"/>
        </w:numPr>
        <w:spacing w:after="80"/>
      </w:pPr>
      <w:r>
        <w:rPr>
          <w:rFonts w:ascii="Calibri" w:cs="Calibri" w:eastAsia="Calibri" w:hAnsi="Calibri"/>
          <w:sz w:val="22"/>
          <w:szCs w:val="22"/>
        </w:rPr>
        <w:t xml:space="preserve">Cerulli: The ~37% of advisors planning retirement within 10 years manage ~$2.4 trillion in client AUM; this "advisor transfer" mirrors and amplifies the client wealth transfer dynamic</w:t>
      </w:r>
    </w:p>
    <w:p>
      <w:pPr>
        <w:pStyle w:val="ListParagraph"/>
        <w:numPr>
          <w:ilvl w:val="0"/>
          <w:numId w:val="2"/>
        </w:numPr>
        <w:spacing w:after="80"/>
      </w:pPr>
      <w:r>
        <w:rPr>
          <w:rFonts w:ascii="Calibri" w:cs="Calibri" w:eastAsia="Calibri" w:hAnsi="Calibri"/>
          <w:sz w:val="22"/>
          <w:szCs w:val="22"/>
        </w:rPr>
        <w:t xml:space="preserve">Federal Reserve: U.S. household net worth projected to reach $200+ trillion by 2034 at current growth rates — setting the ceiling for the total prize</w:t>
      </w:r>
    </w:p>
    <w:p>
      <w:pPr>
        <w:pStyle w:val="ListParagraph"/>
        <w:numPr>
          <w:ilvl w:val="0"/>
          <w:numId w:val="2"/>
        </w:numPr>
        <w:spacing w:after="80"/>
      </w:pPr>
      <w:r>
        <w:rPr>
          <w:rFonts w:ascii="Calibri" w:cs="Calibri" w:eastAsia="Calibri" w:hAnsi="Calibri"/>
          <w:sz w:val="22"/>
          <w:szCs w:val="22"/>
        </w:rPr>
        <w:t xml:space="preserve">McKinsey: Revenue pools in wealth management could shift 20–30% across firm types during 2024–2034; the largest share gains projected for integrated advisory firms with technology-enabled scale</w:t>
      </w:r>
    </w:p>
    <w:p>
      <w:pPr>
        <w:pStyle w:val="ListParagraph"/>
        <w:numPr>
          <w:ilvl w:val="0"/>
          <w:numId w:val="2"/>
        </w:numPr>
        <w:spacing w:after="80"/>
      </w:pPr>
      <w:r>
        <w:rPr>
          <w:rFonts w:ascii="Calibri" w:cs="Calibri" w:eastAsia="Calibri" w:hAnsi="Calibri"/>
          <w:sz w:val="22"/>
          <w:szCs w:val="22"/>
        </w:rPr>
        <w:t xml:space="preserve">Capgemini: By 2030, 60% of HNWI wealth is projected to be controlled by investors under age 55 — a demographic inversion with profound implications for every advisory firm's client base</w:t>
      </w:r>
    </w:p>
    <w:p>
      <w:pPr>
        <w:pStyle w:val="ListParagraph"/>
        <w:numPr>
          <w:ilvl w:val="0"/>
          <w:numId w:val="2"/>
        </w:numPr>
        <w:spacing w:after="80"/>
      </w:pPr>
      <w:r>
        <w:rPr>
          <w:rFonts w:ascii="Calibri" w:cs="Calibri" w:eastAsia="Calibri" w:hAnsi="Calibri"/>
          <w:sz w:val="22"/>
          <w:szCs w:val="22"/>
        </w:rPr>
        <w:t xml:space="preserve">EY: Firms that invest in next-generation client engagement programs see 5-year ROI of 340% on program cost — the strongest single ROI metric in the wealth management investment literature</w:t>
      </w:r>
    </w:p>
    <w:p>
      <w:pPr>
        <w:pStyle w:val="Heading3"/>
        <w:spacing w:after="100" w:before="280"/>
      </w:pPr>
      <w:r>
        <w:rPr>
          <w:rFonts w:ascii="Calibri" w:cs="Calibri" w:eastAsia="Calibri" w:hAnsi="Calibri"/>
          <w:b/>
          <w:bCs/>
          <w:color w:val="1B2A33"/>
          <w:sz w:val="24"/>
          <w:szCs w:val="24"/>
        </w:rPr>
        <w:t xml:space="preserve">4.  Potential Research Gaps</w:t>
      </w:r>
    </w:p>
    <w:p>
      <w:pPr>
        <w:pStyle w:val="ListParagraph"/>
        <w:numPr>
          <w:ilvl w:val="0"/>
          <w:numId w:val="2"/>
        </w:numPr>
        <w:spacing w:after="80"/>
      </w:pPr>
      <w:r>
        <w:rPr>
          <w:rFonts w:ascii="Calibri" w:cs="Calibri" w:eastAsia="Calibri" w:hAnsi="Calibri"/>
          <w:sz w:val="22"/>
          <w:szCs w:val="22"/>
        </w:rPr>
        <w:t xml:space="preserve">The most significant unresolved gap in this dissertation — and in the field broadly — is the absence of longitudinal data tracking individual clients through inheritance events and subsequent advisor-relationship decisions over 5–10 years; a panel study design using institutional data partnerships is the highest-priority future research recommendation.</w:t>
      </w:r>
    </w:p>
    <w:p>
      <w:pPr>
        <w:pStyle w:val="ListParagraph"/>
        <w:numPr>
          <w:ilvl w:val="0"/>
          <w:numId w:val="2"/>
        </w:numPr>
        <w:spacing w:after="80"/>
      </w:pPr>
      <w:r>
        <w:rPr>
          <w:rFonts w:ascii="Calibri" w:cs="Calibri" w:eastAsia="Calibri" w:hAnsi="Calibri"/>
          <w:sz w:val="22"/>
          <w:szCs w:val="22"/>
        </w:rPr>
        <w:t xml:space="preserve">This dissertation focuses on the U.S. market; a comparative international study applying the same regression framework to UK, Australian, German, and Japanese transfer dynamics would test the generalizability of findings and identify country-specific advisory positioning strategies.</w:t>
      </w:r>
    </w:p>
    <w:p>
      <w:pPr>
        <w:pStyle w:val="ListParagraph"/>
        <w:numPr>
          <w:ilvl w:val="0"/>
          <w:numId w:val="2"/>
        </w:numPr>
        <w:spacing w:after="80"/>
      </w:pPr>
      <w:r>
        <w:rPr>
          <w:rFonts w:ascii="Calibri" w:cs="Calibri" w:eastAsia="Calibri" w:hAnsi="Calibri"/>
          <w:sz w:val="22"/>
          <w:szCs w:val="22"/>
        </w:rPr>
        <w:t xml:space="preserve">The policy implications of the wealth transfer — particularly the relationship between advisory firm conduct, estate tax policy, and social mobility outcomes — represent an important but underexplored dimension that connects this practitioner-focused dissertation to the broader inequality and redistribution literature (Papers #95–100).</w:t>
      </w:r>
    </w:p>
    <w:p>
      <w:pPr>
        <w:pStyle w:val="Heading3"/>
        <w:spacing w:after="100" w:before="280"/>
      </w:pPr>
      <w:r>
        <w:rPr>
          <w:rFonts w:ascii="Calibri" w:cs="Calibri" w:eastAsia="Calibri" w:hAnsi="Calibri"/>
          <w:b/>
          <w:bCs/>
          <w:color w:val="1B2A33"/>
          <w:sz w:val="24"/>
          <w:szCs w:val="24"/>
        </w:rPr>
        <w:t xml:space="preserve">5.  Transition Note</w:t>
      </w:r>
    </w:p>
    <w:p>
      <w:pPr>
        <w:spacing w:after="200" w:before="120"/>
      </w:pPr>
      <w:r>
        <w:rPr>
          <w:rFonts w:ascii="Calibri" w:cs="Calibri" w:eastAsia="Calibri" w:hAnsi="Calibri"/>
          <w:i/>
          <w:iCs/>
          <w:color w:val="6B7280"/>
          <w:sz w:val="20"/>
          <w:szCs w:val="20"/>
        </w:rPr>
        <w:t xml:space="preserve">This dissertation concludes by calling on the wealth management profession to treat the great wealth transfer not as a threat to be survived but as a generational mandate to be embraced — the moment when the industry proves whether it can transcend its transactional origins and become a genuine steward of multigenerational financial well-being.</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1" w:space="4"/>
      </w:pBdr>
      <w:jc w:val="right"/>
    </w:pPr>
    <w:r>
      <w:rPr>
        <w:rFonts w:ascii="Calibri" w:cs="Calibri" w:eastAsia="Calibri" w:hAnsi="Calibri"/>
        <w:i/>
        <w:iCs/>
        <w:color w:val="6B7280"/>
        <w:sz w:val="18"/>
        <w:szCs w:val="18"/>
      </w:rPr>
      <w:t xml:space="preserve">The Future of Wealth Management &amp; The Great Wealth Transfer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20" w:before="160"/>
      <w:outlineLvl w:val="1"/>
    </w:pPr>
    <w:rPr>
      <w:rFonts w:ascii="Calibri" w:cs="Calibri" w:eastAsia="Calibri" w:hAnsi="Calibri"/>
      <w:b/>
      <w:bCs/>
      <w:color w:val="1B2A33"/>
      <w:sz w:val="40"/>
      <w:szCs w:val="40"/>
    </w:rPr>
  </w:style>
  <w:style w:type="paragraph" w:styleId="Heading3">
    <w:name w:val="Heading 3"/>
    <w:basedOn w:val="Normal"/>
    <w:next w:val="Normal"/>
    <w:qFormat/>
    <w:pPr>
      <w:spacing w:after="100" w:before="280"/>
      <w:outlineLvl w:val="2"/>
    </w:pPr>
    <w:rPr>
      <w:rFonts w:ascii="Calibri" w:cs="Calibri" w:eastAsia="Calibri" w:hAnsi="Calibri"/>
      <w:b/>
      <w:bCs/>
      <w:color w:val="1B2A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2026-06-13T22:09:08.721Z</dcterms:created>
  <dcterms:modified xsi:type="dcterms:W3CDTF">2026-06-13T22:09:08.727Z</dcterms:modified>
</cp:coreProperties>
</file>

<file path=docProps/custom.xml><?xml version="1.0" encoding="utf-8"?>
<Properties xmlns="http://schemas.openxmlformats.org/officeDocument/2006/custom-properties" xmlns:vt="http://schemas.openxmlformats.org/officeDocument/2006/docPropsVTypes"/>
</file>