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核心系统解决方案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技术方案/解决方案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Solution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需求背景</w:t>
      </w:r>
    </w:p>
    <w:p>
      <w:r>
        <w:rPr>
          <w:rFonts w:ascii="宋体" w:hAnsi="宋体" w:eastAsia="宋体"/>
          <w:sz w:val="22"/>
        </w:rPr>
        <w:t>7. 建设目标</w:t>
      </w:r>
    </w:p>
    <w:p>
      <w:r>
        <w:rPr>
          <w:rFonts w:ascii="宋体" w:hAnsi="宋体" w:eastAsia="宋体"/>
          <w:sz w:val="22"/>
        </w:rPr>
        <w:t>8. 方案设计</w:t>
      </w:r>
    </w:p>
    <w:p>
      <w:r>
        <w:rPr>
          <w:rFonts w:ascii="宋体" w:hAnsi="宋体" w:eastAsia="宋体"/>
          <w:sz w:val="22"/>
        </w:rPr>
        <w:t>9. 实施路径与计划</w:t>
      </w:r>
    </w:p>
    <w:p>
      <w:r>
        <w:rPr>
          <w:rFonts w:ascii="宋体" w:hAnsi="宋体" w:eastAsia="宋体"/>
          <w:sz w:val="22"/>
        </w:rPr>
        <w:t>10. 风险控制建议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本模板用于记录盛京银行技术方案/解决方案相关服务交付情况。请根据实际服务过程填写服务背景、处理/实施过程、分析结论、验证结果及后续建议。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方案（SOL，Solution）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核心系统解决方案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需求背景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建设目标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方案设计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实施路径与计划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风险控制建议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核心系统解决方案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