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E0A" w:rsidP="001F0784" w:rsidRDefault="00880E0A" w14:paraId="037C35DB" w14:textId="1FCFE6DC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bookmarkStart w:name="_Hlk163469244" w:id="0"/>
      <w:r w:rsidRPr="00880E0A">
        <w:rPr>
          <w:rFonts w:ascii="Times New Roman" w:hAnsi="Times New Roman" w:cs="Times New Roman"/>
          <w:b/>
          <w:bCs/>
          <w:lang w:val="en-US"/>
        </w:rPr>
        <w:t>Background</w:t>
      </w:r>
    </w:p>
    <w:p w:rsidRPr="00880E0A" w:rsidR="00BC7A10" w:rsidP="001F0784" w:rsidRDefault="00BC7A10" w14:paraId="154622F3" w14:textId="77777777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63A5D" w:rsidP="00681B83" w:rsidRDefault="001D53AC" w14:paraId="1D7F896B" w14:textId="7515A934">
      <w:pPr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 xml:space="preserve">It is the second quarter of 2024. </w:t>
      </w:r>
      <w:r w:rsidRPr="00880E0A" w:rsidR="00905496">
        <w:rPr>
          <w:rFonts w:ascii="Times New Roman" w:hAnsi="Times New Roman" w:cs="Times New Roman"/>
          <w:lang w:val="en-US"/>
        </w:rPr>
        <w:t xml:space="preserve">You are a consulting actuary engaged by </w:t>
      </w:r>
      <w:r w:rsidRPr="00880E0A" w:rsidR="00EA2474">
        <w:rPr>
          <w:rFonts w:ascii="Times New Roman" w:hAnsi="Times New Roman" w:cs="Times New Roman"/>
          <w:lang w:val="en-US"/>
        </w:rPr>
        <w:t>Great</w:t>
      </w:r>
      <w:r w:rsidRPr="00880E0A" w:rsidR="00CA4FFD">
        <w:rPr>
          <w:rFonts w:ascii="Times New Roman" w:hAnsi="Times New Roman" w:cs="Times New Roman"/>
          <w:lang w:val="en-US"/>
        </w:rPr>
        <w:t xml:space="preserve"> </w:t>
      </w:r>
      <w:r w:rsidRPr="00880E0A" w:rsidR="00FD1167">
        <w:rPr>
          <w:rFonts w:ascii="Times New Roman" w:hAnsi="Times New Roman" w:cs="Times New Roman"/>
          <w:lang w:val="en-US"/>
        </w:rPr>
        <w:t xml:space="preserve">Insurance, a </w:t>
      </w:r>
      <w:r w:rsidRPr="00880E0A" w:rsidR="00905496">
        <w:rPr>
          <w:rFonts w:ascii="Times New Roman" w:hAnsi="Times New Roman" w:cs="Times New Roman"/>
          <w:lang w:val="en-US"/>
        </w:rPr>
        <w:t xml:space="preserve">multinational </w:t>
      </w:r>
      <w:r w:rsidRPr="00880E0A" w:rsidR="008D79AB">
        <w:rPr>
          <w:rFonts w:ascii="Times New Roman" w:hAnsi="Times New Roman" w:cs="Times New Roman"/>
          <w:lang w:val="en-US"/>
        </w:rPr>
        <w:t xml:space="preserve">general </w:t>
      </w:r>
      <w:r w:rsidRPr="00880E0A" w:rsidR="00905496">
        <w:rPr>
          <w:rFonts w:ascii="Times New Roman" w:hAnsi="Times New Roman" w:cs="Times New Roman"/>
          <w:lang w:val="en-US"/>
        </w:rPr>
        <w:t>insurer</w:t>
      </w:r>
      <w:r w:rsidRPr="00880E0A" w:rsidR="00FD1167">
        <w:rPr>
          <w:rFonts w:ascii="Times New Roman" w:hAnsi="Times New Roman" w:cs="Times New Roman"/>
          <w:lang w:val="en-US"/>
        </w:rPr>
        <w:t xml:space="preserve"> </w:t>
      </w:r>
      <w:r w:rsidRPr="00880E0A" w:rsidR="006E5A8D">
        <w:rPr>
          <w:rFonts w:ascii="Times New Roman" w:hAnsi="Times New Roman" w:cs="Times New Roman"/>
          <w:lang w:val="en-US"/>
        </w:rPr>
        <w:t xml:space="preserve">headquartered in Malaysia, to </w:t>
      </w:r>
      <w:r w:rsidRPr="00880E0A" w:rsidR="00B86655">
        <w:rPr>
          <w:rFonts w:ascii="Times New Roman" w:hAnsi="Times New Roman" w:cs="Times New Roman"/>
          <w:lang w:val="en-US"/>
        </w:rPr>
        <w:t>examine</w:t>
      </w:r>
      <w:r w:rsidRPr="00880E0A" w:rsidR="006E5A8D">
        <w:rPr>
          <w:rFonts w:ascii="Times New Roman" w:hAnsi="Times New Roman" w:cs="Times New Roman"/>
          <w:lang w:val="en-US"/>
        </w:rPr>
        <w:t xml:space="preserve"> the </w:t>
      </w:r>
      <w:r w:rsidRPr="00880E0A" w:rsidR="009C09D1">
        <w:rPr>
          <w:rFonts w:ascii="Times New Roman" w:hAnsi="Times New Roman" w:cs="Times New Roman"/>
          <w:lang w:val="en-US"/>
        </w:rPr>
        <w:t xml:space="preserve">feasibility </w:t>
      </w:r>
      <w:r w:rsidRPr="00880E0A" w:rsidR="006E5A8D">
        <w:rPr>
          <w:rFonts w:ascii="Times New Roman" w:hAnsi="Times New Roman" w:cs="Times New Roman"/>
          <w:lang w:val="en-US"/>
        </w:rPr>
        <w:t xml:space="preserve">of extending its existing reinsurance treaty structure </w:t>
      </w:r>
      <w:r w:rsidRPr="00880E0A" w:rsidR="009C09D1">
        <w:rPr>
          <w:rFonts w:ascii="Times New Roman" w:hAnsi="Times New Roman" w:cs="Times New Roman"/>
          <w:lang w:val="en-US"/>
        </w:rPr>
        <w:t>for</w:t>
      </w:r>
      <w:r w:rsidRPr="00880E0A" w:rsidR="006E5A8D">
        <w:rPr>
          <w:rFonts w:ascii="Times New Roman" w:hAnsi="Times New Roman" w:cs="Times New Roman"/>
          <w:lang w:val="en-US"/>
        </w:rPr>
        <w:t xml:space="preserve"> Malaysia</w:t>
      </w:r>
      <w:r w:rsidRPr="00880E0A">
        <w:rPr>
          <w:rFonts w:ascii="Times New Roman" w:hAnsi="Times New Roman" w:cs="Times New Roman"/>
          <w:lang w:val="en-US"/>
        </w:rPr>
        <w:t>’s business</w:t>
      </w:r>
      <w:r w:rsidRPr="00880E0A" w:rsidR="006E5A8D">
        <w:rPr>
          <w:rFonts w:ascii="Times New Roman" w:hAnsi="Times New Roman" w:cs="Times New Roman"/>
          <w:lang w:val="en-US"/>
        </w:rPr>
        <w:t xml:space="preserve"> to cover the general insurance business of </w:t>
      </w:r>
      <w:r w:rsidRPr="00880E0A" w:rsidR="007A346D">
        <w:rPr>
          <w:rFonts w:ascii="Times New Roman" w:hAnsi="Times New Roman" w:cs="Times New Roman"/>
          <w:lang w:val="en-US"/>
        </w:rPr>
        <w:t>a</w:t>
      </w:r>
      <w:r w:rsidRPr="00880E0A" w:rsidR="006E5A8D">
        <w:rPr>
          <w:rFonts w:ascii="Times New Roman" w:hAnsi="Times New Roman" w:cs="Times New Roman"/>
          <w:lang w:val="en-US"/>
        </w:rPr>
        <w:t xml:space="preserve"> foreign branch </w:t>
      </w:r>
      <w:r w:rsidRPr="00880E0A" w:rsidR="009C09D1">
        <w:rPr>
          <w:rFonts w:ascii="Times New Roman" w:hAnsi="Times New Roman" w:cs="Times New Roman"/>
          <w:lang w:val="en-US"/>
        </w:rPr>
        <w:t xml:space="preserve">that the company </w:t>
      </w:r>
      <w:r w:rsidRPr="00880E0A" w:rsidR="00CF4652">
        <w:rPr>
          <w:rFonts w:ascii="Times New Roman" w:hAnsi="Times New Roman" w:cs="Times New Roman"/>
          <w:lang w:val="en-US"/>
        </w:rPr>
        <w:t>will</w:t>
      </w:r>
      <w:r w:rsidRPr="00880E0A" w:rsidR="009C09D1">
        <w:rPr>
          <w:rFonts w:ascii="Times New Roman" w:hAnsi="Times New Roman" w:cs="Times New Roman"/>
          <w:lang w:val="en-US"/>
        </w:rPr>
        <w:t xml:space="preserve"> acquire </w:t>
      </w:r>
      <w:r w:rsidRPr="00880E0A" w:rsidR="006E5A8D">
        <w:rPr>
          <w:rFonts w:ascii="Times New Roman" w:hAnsi="Times New Roman" w:cs="Times New Roman"/>
          <w:lang w:val="en-US"/>
        </w:rPr>
        <w:t xml:space="preserve">in </w:t>
      </w:r>
      <w:r w:rsidRPr="00880E0A" w:rsidR="00C35FB8">
        <w:rPr>
          <w:rFonts w:ascii="Times New Roman" w:hAnsi="Times New Roman" w:cs="Times New Roman"/>
          <w:lang w:val="en-US"/>
        </w:rPr>
        <w:t>a</w:t>
      </w:r>
      <w:r w:rsidRPr="00880E0A" w:rsidR="006E5A8D">
        <w:rPr>
          <w:rFonts w:ascii="Times New Roman" w:hAnsi="Times New Roman" w:cs="Times New Roman"/>
          <w:lang w:val="en-US"/>
        </w:rPr>
        <w:t xml:space="preserve"> neighboring country, the Eastern Republic</w:t>
      </w:r>
      <w:r w:rsidRPr="00880E0A" w:rsidR="00905496">
        <w:rPr>
          <w:rFonts w:ascii="Times New Roman" w:hAnsi="Times New Roman" w:cs="Times New Roman"/>
          <w:lang w:val="en-US"/>
        </w:rPr>
        <w:t>.</w:t>
      </w:r>
      <w:r w:rsidRPr="00880E0A" w:rsidR="006E5A8D">
        <w:rPr>
          <w:rFonts w:ascii="Times New Roman" w:hAnsi="Times New Roman" w:cs="Times New Roman"/>
          <w:lang w:val="en-US"/>
        </w:rPr>
        <w:t xml:space="preserve"> </w:t>
      </w:r>
      <w:r w:rsidR="00234300">
        <w:rPr>
          <w:rFonts w:ascii="Times New Roman" w:hAnsi="Times New Roman" w:cs="Times New Roman"/>
          <w:lang w:val="en-US"/>
        </w:rPr>
        <w:t>T</w:t>
      </w:r>
      <w:r w:rsidRPr="00880E0A" w:rsidR="007A346D">
        <w:rPr>
          <w:rFonts w:ascii="Times New Roman" w:hAnsi="Times New Roman" w:cs="Times New Roman"/>
          <w:lang w:val="en-US"/>
        </w:rPr>
        <w:t>he Eastern Republic has a similar economy, population size</w:t>
      </w:r>
      <w:r w:rsidRPr="00880E0A">
        <w:rPr>
          <w:rFonts w:ascii="Times New Roman" w:hAnsi="Times New Roman" w:cs="Times New Roman"/>
          <w:lang w:val="en-US"/>
        </w:rPr>
        <w:t>, climate, and insurance regulation</w:t>
      </w:r>
      <w:r w:rsidRPr="00880E0A" w:rsidR="007A346D">
        <w:rPr>
          <w:rFonts w:ascii="Times New Roman" w:hAnsi="Times New Roman" w:cs="Times New Roman"/>
          <w:lang w:val="en-US"/>
        </w:rPr>
        <w:t xml:space="preserve"> as Malaysia.</w:t>
      </w:r>
    </w:p>
    <w:p w:rsidR="00B63A5D" w:rsidP="00681B83" w:rsidRDefault="006E5A8D" w14:paraId="442F5D2C" w14:textId="677DED3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 xml:space="preserve">The </w:t>
      </w:r>
      <w:r w:rsidRPr="00880E0A" w:rsidR="007A346D">
        <w:rPr>
          <w:rFonts w:ascii="Times New Roman" w:hAnsi="Times New Roman" w:cs="Times New Roman"/>
          <w:lang w:val="en-US"/>
        </w:rPr>
        <w:t>soon-to-be-</w:t>
      </w:r>
      <w:r w:rsidRPr="00880E0A">
        <w:rPr>
          <w:rFonts w:ascii="Times New Roman" w:hAnsi="Times New Roman" w:cs="Times New Roman"/>
          <w:lang w:val="en-US"/>
        </w:rPr>
        <w:t xml:space="preserve">acquired entity </w:t>
      </w:r>
      <w:r w:rsidRPr="00880E0A" w:rsidR="009C09D1">
        <w:rPr>
          <w:rFonts w:ascii="Times New Roman" w:hAnsi="Times New Roman" w:cs="Times New Roman"/>
          <w:lang w:val="en-US"/>
        </w:rPr>
        <w:t>in Eastern Re</w:t>
      </w:r>
      <w:bookmarkStart w:name="_GoBack" w:id="1"/>
      <w:bookmarkEnd w:id="1"/>
      <w:r w:rsidRPr="00880E0A" w:rsidR="009C09D1">
        <w:rPr>
          <w:rFonts w:ascii="Times New Roman" w:hAnsi="Times New Roman" w:cs="Times New Roman"/>
          <w:lang w:val="en-US"/>
        </w:rPr>
        <w:t xml:space="preserve">public </w:t>
      </w:r>
      <w:r w:rsidRPr="00880E0A" w:rsidR="007A346D">
        <w:rPr>
          <w:rFonts w:ascii="Times New Roman" w:hAnsi="Times New Roman" w:cs="Times New Roman"/>
          <w:lang w:val="en-US"/>
        </w:rPr>
        <w:t>has</w:t>
      </w:r>
      <w:r w:rsidRPr="00880E0A">
        <w:rPr>
          <w:rFonts w:ascii="Times New Roman" w:hAnsi="Times New Roman" w:cs="Times New Roman"/>
          <w:lang w:val="en-US"/>
        </w:rPr>
        <w:t xml:space="preserve"> </w:t>
      </w:r>
      <w:r w:rsidRPr="00880E0A" w:rsidR="007A346D">
        <w:rPr>
          <w:rFonts w:ascii="Times New Roman" w:hAnsi="Times New Roman" w:cs="Times New Roman"/>
          <w:lang w:val="en-US"/>
        </w:rPr>
        <w:t>been</w:t>
      </w:r>
      <w:r w:rsidRPr="00880E0A">
        <w:rPr>
          <w:rFonts w:ascii="Times New Roman" w:hAnsi="Times New Roman" w:cs="Times New Roman"/>
          <w:lang w:val="en-US"/>
        </w:rPr>
        <w:t xml:space="preserve"> rel</w:t>
      </w:r>
      <w:r w:rsidRPr="00880E0A" w:rsidR="007A346D">
        <w:rPr>
          <w:rFonts w:ascii="Times New Roman" w:hAnsi="Times New Roman" w:cs="Times New Roman"/>
          <w:lang w:val="en-US"/>
        </w:rPr>
        <w:t>ying</w:t>
      </w:r>
      <w:r w:rsidRPr="00880E0A">
        <w:rPr>
          <w:rFonts w:ascii="Times New Roman" w:hAnsi="Times New Roman" w:cs="Times New Roman"/>
          <w:lang w:val="en-US"/>
        </w:rPr>
        <w:t xml:space="preserve"> on an intra-group reinsurance arrangement with its </w:t>
      </w:r>
      <w:r w:rsidRPr="00880E0A" w:rsidR="009C09D1">
        <w:rPr>
          <w:rFonts w:ascii="Times New Roman" w:hAnsi="Times New Roman" w:cs="Times New Roman"/>
          <w:lang w:val="en-US"/>
        </w:rPr>
        <w:t>H</w:t>
      </w:r>
      <w:r w:rsidRPr="00880E0A">
        <w:rPr>
          <w:rFonts w:ascii="Times New Roman" w:hAnsi="Times New Roman" w:cs="Times New Roman"/>
          <w:lang w:val="en-US"/>
        </w:rPr>
        <w:t xml:space="preserve">ead </w:t>
      </w:r>
      <w:r w:rsidRPr="00880E0A" w:rsidR="009C09D1">
        <w:rPr>
          <w:rFonts w:ascii="Times New Roman" w:hAnsi="Times New Roman" w:cs="Times New Roman"/>
          <w:lang w:val="en-US"/>
        </w:rPr>
        <w:t>O</w:t>
      </w:r>
      <w:r w:rsidRPr="00880E0A">
        <w:rPr>
          <w:rFonts w:ascii="Times New Roman" w:hAnsi="Times New Roman" w:cs="Times New Roman"/>
          <w:lang w:val="en-US"/>
        </w:rPr>
        <w:t>ffice</w:t>
      </w:r>
      <w:r w:rsidRPr="00880E0A" w:rsidR="009C09D1">
        <w:rPr>
          <w:rFonts w:ascii="Times New Roman" w:hAnsi="Times New Roman" w:cs="Times New Roman"/>
          <w:lang w:val="en-US"/>
        </w:rPr>
        <w:t xml:space="preserve"> to </w:t>
      </w:r>
      <w:r w:rsidRPr="00880E0A" w:rsidR="001D53AC">
        <w:rPr>
          <w:rFonts w:ascii="Times New Roman" w:hAnsi="Times New Roman" w:cs="Times New Roman"/>
          <w:lang w:val="en-US"/>
        </w:rPr>
        <w:t>manage</w:t>
      </w:r>
      <w:r w:rsidRPr="00880E0A" w:rsidR="009C09D1">
        <w:rPr>
          <w:rFonts w:ascii="Times New Roman" w:hAnsi="Times New Roman" w:cs="Times New Roman"/>
          <w:lang w:val="en-US"/>
        </w:rPr>
        <w:t xml:space="preserve"> its </w:t>
      </w:r>
      <w:r w:rsidRPr="00880E0A" w:rsidR="001D53AC">
        <w:rPr>
          <w:rFonts w:ascii="Times New Roman" w:hAnsi="Times New Roman" w:cs="Times New Roman"/>
          <w:lang w:val="en-US"/>
        </w:rPr>
        <w:t xml:space="preserve">insurance </w:t>
      </w:r>
      <w:r w:rsidR="0029419F">
        <w:rPr>
          <w:rFonts w:ascii="Times New Roman" w:hAnsi="Times New Roman" w:cs="Times New Roman"/>
          <w:lang w:val="en-US"/>
        </w:rPr>
        <w:t>exposure</w:t>
      </w:r>
      <w:r w:rsidRPr="00880E0A">
        <w:rPr>
          <w:rFonts w:ascii="Times New Roman" w:hAnsi="Times New Roman" w:cs="Times New Roman"/>
          <w:lang w:val="en-US"/>
        </w:rPr>
        <w:t xml:space="preserve">, but the arrangement </w:t>
      </w:r>
      <w:r w:rsidRPr="00880E0A" w:rsidR="009C09D1">
        <w:rPr>
          <w:rFonts w:ascii="Times New Roman" w:hAnsi="Times New Roman" w:cs="Times New Roman"/>
          <w:lang w:val="en-US"/>
        </w:rPr>
        <w:t xml:space="preserve">will be </w:t>
      </w:r>
      <w:r w:rsidRPr="00880E0A">
        <w:rPr>
          <w:rFonts w:ascii="Times New Roman" w:hAnsi="Times New Roman" w:cs="Times New Roman"/>
          <w:lang w:val="en-US"/>
        </w:rPr>
        <w:t xml:space="preserve">commuted </w:t>
      </w:r>
      <w:r w:rsidRPr="00880E0A" w:rsidR="001D53AC">
        <w:rPr>
          <w:rFonts w:ascii="Times New Roman" w:hAnsi="Times New Roman" w:cs="Times New Roman"/>
          <w:lang w:val="en-US"/>
        </w:rPr>
        <w:t>upon</w:t>
      </w:r>
      <w:r w:rsidRPr="00880E0A">
        <w:rPr>
          <w:rFonts w:ascii="Times New Roman" w:hAnsi="Times New Roman" w:cs="Times New Roman"/>
          <w:lang w:val="en-US"/>
        </w:rPr>
        <w:t xml:space="preserve"> the </w:t>
      </w:r>
      <w:r w:rsidRPr="00880E0A" w:rsidR="009C09D1">
        <w:rPr>
          <w:rFonts w:ascii="Times New Roman" w:hAnsi="Times New Roman" w:cs="Times New Roman"/>
          <w:lang w:val="en-US"/>
        </w:rPr>
        <w:t>sales of the company by the end of 2024</w:t>
      </w:r>
      <w:r w:rsidRPr="00880E0A">
        <w:rPr>
          <w:rFonts w:ascii="Times New Roman" w:hAnsi="Times New Roman" w:cs="Times New Roman"/>
          <w:lang w:val="en-US"/>
        </w:rPr>
        <w:t xml:space="preserve">. </w:t>
      </w:r>
      <w:r w:rsidRPr="00880E0A" w:rsidR="00CF4652">
        <w:rPr>
          <w:rFonts w:ascii="Times New Roman" w:hAnsi="Times New Roman" w:cs="Times New Roman"/>
          <w:lang w:val="en-US"/>
        </w:rPr>
        <w:t>D</w:t>
      </w:r>
      <w:r w:rsidRPr="00880E0A" w:rsidR="009C09D1">
        <w:rPr>
          <w:rFonts w:ascii="Times New Roman" w:hAnsi="Times New Roman" w:cs="Times New Roman"/>
          <w:lang w:val="en-US"/>
        </w:rPr>
        <w:t xml:space="preserve">etails in relation to the </w:t>
      </w:r>
      <w:r w:rsidRPr="00880E0A" w:rsidR="00CF4652">
        <w:rPr>
          <w:rFonts w:ascii="Times New Roman" w:hAnsi="Times New Roman" w:cs="Times New Roman"/>
          <w:lang w:val="en-US"/>
        </w:rPr>
        <w:t>existing</w:t>
      </w:r>
      <w:r w:rsidRPr="00880E0A" w:rsidR="007A346D">
        <w:rPr>
          <w:rFonts w:ascii="Times New Roman" w:hAnsi="Times New Roman" w:cs="Times New Roman"/>
          <w:lang w:val="en-US"/>
        </w:rPr>
        <w:t xml:space="preserve"> </w:t>
      </w:r>
      <w:r w:rsidRPr="00880E0A" w:rsidR="009C09D1">
        <w:rPr>
          <w:rFonts w:ascii="Times New Roman" w:hAnsi="Times New Roman" w:cs="Times New Roman"/>
          <w:lang w:val="en-US"/>
        </w:rPr>
        <w:t xml:space="preserve">reinsurance arrangement have not been made available to you, except </w:t>
      </w:r>
      <w:r w:rsidR="00880E0A">
        <w:rPr>
          <w:rFonts w:ascii="Times New Roman" w:hAnsi="Times New Roman" w:cs="Times New Roman"/>
          <w:lang w:val="en-US"/>
        </w:rPr>
        <w:t>for some information on</w:t>
      </w:r>
      <w:r w:rsidRPr="00880E0A" w:rsidR="009C09D1">
        <w:rPr>
          <w:rFonts w:ascii="Times New Roman" w:hAnsi="Times New Roman" w:cs="Times New Roman"/>
          <w:lang w:val="en-US"/>
        </w:rPr>
        <w:t xml:space="preserve"> </w:t>
      </w:r>
      <w:r w:rsidR="0029419F">
        <w:rPr>
          <w:rFonts w:ascii="Times New Roman" w:hAnsi="Times New Roman" w:cs="Times New Roman"/>
          <w:lang w:val="en-US"/>
        </w:rPr>
        <w:t xml:space="preserve">past </w:t>
      </w:r>
      <w:r w:rsidRPr="00880E0A" w:rsidR="009C09D1">
        <w:rPr>
          <w:rFonts w:ascii="Times New Roman" w:hAnsi="Times New Roman" w:cs="Times New Roman"/>
          <w:lang w:val="en-US"/>
        </w:rPr>
        <w:t xml:space="preserve">facultative reinsurance </w:t>
      </w:r>
      <w:r w:rsidR="00BC7A10">
        <w:rPr>
          <w:rFonts w:ascii="Times New Roman" w:hAnsi="Times New Roman" w:cs="Times New Roman"/>
          <w:lang w:val="en-US"/>
        </w:rPr>
        <w:t>cessions</w:t>
      </w:r>
      <w:r w:rsidR="00880E0A">
        <w:rPr>
          <w:rFonts w:ascii="Times New Roman" w:hAnsi="Times New Roman" w:cs="Times New Roman"/>
          <w:lang w:val="en-US"/>
        </w:rPr>
        <w:t xml:space="preserve"> </w:t>
      </w:r>
      <w:r w:rsidRPr="00880E0A" w:rsidR="001D53AC">
        <w:rPr>
          <w:rFonts w:ascii="Times New Roman" w:hAnsi="Times New Roman" w:cs="Times New Roman"/>
          <w:lang w:val="en-US"/>
        </w:rPr>
        <w:t xml:space="preserve">to </w:t>
      </w:r>
      <w:r w:rsidRPr="00880E0A" w:rsidR="007A346D">
        <w:rPr>
          <w:rFonts w:ascii="Times New Roman" w:hAnsi="Times New Roman" w:cs="Times New Roman"/>
          <w:lang w:val="en-US"/>
        </w:rPr>
        <w:t>external reinsurers</w:t>
      </w:r>
      <w:r w:rsidRPr="00880E0A" w:rsidR="009C09D1">
        <w:rPr>
          <w:rFonts w:ascii="Times New Roman" w:hAnsi="Times New Roman" w:cs="Times New Roman"/>
          <w:lang w:val="en-US"/>
        </w:rPr>
        <w:t>.</w:t>
      </w:r>
    </w:p>
    <w:p w:rsidRPr="005046D6" w:rsidR="00BC7A10" w:rsidP="00E37F6D" w:rsidRDefault="001D53AC" w14:paraId="6C13F844" w14:textId="652571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>The entity</w:t>
      </w:r>
      <w:r w:rsidRPr="00880E0A" w:rsidR="00905496">
        <w:rPr>
          <w:rFonts w:ascii="Times New Roman" w:hAnsi="Times New Roman" w:cs="Times New Roman"/>
          <w:lang w:val="en-US"/>
        </w:rPr>
        <w:t xml:space="preserve"> </w:t>
      </w:r>
      <w:r w:rsidRPr="00880E0A" w:rsidR="00EA2474">
        <w:rPr>
          <w:rFonts w:ascii="Times New Roman" w:hAnsi="Times New Roman" w:cs="Times New Roman"/>
          <w:lang w:val="en-US"/>
        </w:rPr>
        <w:t>under</w:t>
      </w:r>
      <w:r w:rsidRPr="00880E0A" w:rsidR="00FD1167">
        <w:rPr>
          <w:rFonts w:ascii="Times New Roman" w:hAnsi="Times New Roman" w:cs="Times New Roman"/>
          <w:lang w:val="en-US"/>
        </w:rPr>
        <w:t xml:space="preserve">writes </w:t>
      </w:r>
      <w:r w:rsidRPr="00880E0A" w:rsidR="00905496">
        <w:rPr>
          <w:rFonts w:ascii="Times New Roman" w:hAnsi="Times New Roman" w:cs="Times New Roman"/>
          <w:lang w:val="en-US"/>
        </w:rPr>
        <w:t xml:space="preserve">general insurance </w:t>
      </w:r>
      <w:r w:rsidRPr="00880E0A" w:rsidR="00FD1167">
        <w:rPr>
          <w:rFonts w:ascii="Times New Roman" w:hAnsi="Times New Roman" w:cs="Times New Roman"/>
          <w:lang w:val="en-US"/>
        </w:rPr>
        <w:t xml:space="preserve">business in </w:t>
      </w:r>
      <w:r w:rsidRPr="00880E0A" w:rsidR="00CF4652">
        <w:rPr>
          <w:rFonts w:ascii="Times New Roman" w:hAnsi="Times New Roman" w:cs="Times New Roman"/>
          <w:lang w:val="en-US"/>
        </w:rPr>
        <w:t>only two</w:t>
      </w:r>
      <w:r w:rsidRPr="00880E0A">
        <w:rPr>
          <w:rFonts w:ascii="Times New Roman" w:hAnsi="Times New Roman" w:cs="Times New Roman"/>
          <w:lang w:val="en-US"/>
        </w:rPr>
        <w:t xml:space="preserve"> </w:t>
      </w:r>
      <w:r w:rsidRPr="00880E0A" w:rsidR="00905496">
        <w:rPr>
          <w:rFonts w:ascii="Times New Roman" w:hAnsi="Times New Roman" w:cs="Times New Roman"/>
          <w:lang w:val="en-US"/>
        </w:rPr>
        <w:t xml:space="preserve">lines </w:t>
      </w:r>
      <w:r w:rsidRPr="00880E0A" w:rsidR="00FD1167">
        <w:rPr>
          <w:rFonts w:ascii="Times New Roman" w:hAnsi="Times New Roman" w:cs="Times New Roman"/>
          <w:lang w:val="en-US"/>
        </w:rPr>
        <w:t xml:space="preserve">of business, i.e. </w:t>
      </w:r>
      <w:r w:rsidRPr="00880E0A" w:rsidR="00CF4652">
        <w:rPr>
          <w:rFonts w:ascii="Times New Roman" w:hAnsi="Times New Roman" w:cs="Times New Roman"/>
          <w:lang w:val="en-US"/>
        </w:rPr>
        <w:t>P</w:t>
      </w:r>
      <w:r w:rsidRPr="00880E0A" w:rsidR="00FD1167">
        <w:rPr>
          <w:rFonts w:ascii="Times New Roman" w:hAnsi="Times New Roman" w:cs="Times New Roman"/>
          <w:lang w:val="en-US"/>
        </w:rPr>
        <w:t>roperty</w:t>
      </w:r>
      <w:r w:rsidRPr="00880E0A" w:rsidR="00CF4652">
        <w:rPr>
          <w:rFonts w:ascii="Times New Roman" w:hAnsi="Times New Roman" w:cs="Times New Roman"/>
          <w:lang w:val="en-US"/>
        </w:rPr>
        <w:t xml:space="preserve"> and</w:t>
      </w:r>
      <w:r w:rsidRPr="00880E0A" w:rsidR="00FD1167">
        <w:rPr>
          <w:rFonts w:ascii="Times New Roman" w:hAnsi="Times New Roman" w:cs="Times New Roman"/>
          <w:lang w:val="en-US"/>
        </w:rPr>
        <w:t xml:space="preserve"> </w:t>
      </w:r>
      <w:r w:rsidRPr="00880E0A" w:rsidR="00CF4652">
        <w:rPr>
          <w:rFonts w:ascii="Times New Roman" w:hAnsi="Times New Roman" w:cs="Times New Roman"/>
          <w:lang w:val="en-US"/>
        </w:rPr>
        <w:t>M</w:t>
      </w:r>
      <w:r w:rsidRPr="00880E0A" w:rsidR="00FD1167">
        <w:rPr>
          <w:rFonts w:ascii="Times New Roman" w:hAnsi="Times New Roman" w:cs="Times New Roman"/>
          <w:lang w:val="en-US"/>
        </w:rPr>
        <w:t>otor.</w:t>
      </w:r>
      <w:r w:rsidRPr="00880E0A" w:rsidR="00CF4652">
        <w:rPr>
          <w:rFonts w:ascii="Times New Roman" w:hAnsi="Times New Roman" w:cs="Times New Roman"/>
          <w:lang w:val="en-US"/>
        </w:rPr>
        <w:t xml:space="preserve"> It </w:t>
      </w:r>
      <w:r w:rsidRPr="00880E0A" w:rsidR="00C35FB8">
        <w:rPr>
          <w:rFonts w:ascii="Times New Roman" w:hAnsi="Times New Roman" w:cs="Times New Roman"/>
          <w:lang w:val="en-US"/>
        </w:rPr>
        <w:t>commands</w:t>
      </w:r>
      <w:r w:rsidRPr="00880E0A" w:rsidR="00CF4652">
        <w:rPr>
          <w:rFonts w:ascii="Times New Roman" w:hAnsi="Times New Roman" w:cs="Times New Roman"/>
          <w:lang w:val="en-US"/>
        </w:rPr>
        <w:t xml:space="preserve"> a sizable share </w:t>
      </w:r>
      <w:r w:rsidRPr="00880E0A" w:rsidR="00503562">
        <w:rPr>
          <w:rFonts w:ascii="Times New Roman" w:hAnsi="Times New Roman" w:cs="Times New Roman"/>
          <w:lang w:val="en-US"/>
        </w:rPr>
        <w:t xml:space="preserve">of </w:t>
      </w:r>
      <w:r w:rsidRPr="00880E0A" w:rsidR="00CF4652">
        <w:rPr>
          <w:rFonts w:ascii="Times New Roman" w:hAnsi="Times New Roman" w:cs="Times New Roman"/>
          <w:lang w:val="en-US"/>
        </w:rPr>
        <w:t xml:space="preserve">Property business </w:t>
      </w:r>
      <w:r w:rsidRPr="00880E0A" w:rsidR="00503562">
        <w:rPr>
          <w:rFonts w:ascii="Times New Roman" w:hAnsi="Times New Roman" w:cs="Times New Roman"/>
          <w:lang w:val="en-US"/>
        </w:rPr>
        <w:t xml:space="preserve">particularly in the industrial segment </w:t>
      </w:r>
      <w:r w:rsidRPr="00880E0A" w:rsidR="00CF4652">
        <w:rPr>
          <w:rFonts w:ascii="Times New Roman" w:hAnsi="Times New Roman" w:cs="Times New Roman"/>
          <w:lang w:val="en-US"/>
        </w:rPr>
        <w:t xml:space="preserve">and is looking </w:t>
      </w:r>
      <w:r w:rsidRPr="00880E0A" w:rsidR="00503562">
        <w:rPr>
          <w:rFonts w:ascii="Times New Roman" w:hAnsi="Times New Roman" w:cs="Times New Roman"/>
          <w:lang w:val="en-US"/>
        </w:rPr>
        <w:t xml:space="preserve">to </w:t>
      </w:r>
      <w:r w:rsidRPr="00880E0A" w:rsidR="00CF4652">
        <w:rPr>
          <w:rFonts w:ascii="Times New Roman" w:hAnsi="Times New Roman" w:cs="Times New Roman"/>
          <w:lang w:val="en-US"/>
        </w:rPr>
        <w:t xml:space="preserve">grow its </w:t>
      </w:r>
      <w:r w:rsidRPr="00880E0A" w:rsidR="00C35FB8">
        <w:rPr>
          <w:rFonts w:ascii="Times New Roman" w:hAnsi="Times New Roman" w:cs="Times New Roman"/>
          <w:lang w:val="en-US"/>
        </w:rPr>
        <w:t xml:space="preserve">personal </w:t>
      </w:r>
      <w:r w:rsidRPr="00880E0A" w:rsidR="00CF4652">
        <w:rPr>
          <w:rFonts w:ascii="Times New Roman" w:hAnsi="Times New Roman" w:cs="Times New Roman"/>
          <w:lang w:val="en-US"/>
        </w:rPr>
        <w:t>Motor business aggressively in the coming years</w:t>
      </w:r>
      <w:r w:rsidR="000274AB">
        <w:rPr>
          <w:rFonts w:ascii="Times New Roman" w:hAnsi="Times New Roman" w:cs="Times New Roman"/>
          <w:lang w:val="en-US"/>
        </w:rPr>
        <w:t xml:space="preserve"> through its internet channel</w:t>
      </w:r>
      <w:r w:rsidRPr="00880E0A" w:rsidR="00597BA0">
        <w:rPr>
          <w:rFonts w:ascii="Times New Roman" w:hAnsi="Times New Roman" w:cs="Times New Roman"/>
          <w:lang w:val="en-US"/>
        </w:rPr>
        <w:t xml:space="preserve">. </w:t>
      </w:r>
      <w:r w:rsidRPr="00880E0A" w:rsidR="00F5285C">
        <w:rPr>
          <w:rFonts w:ascii="Times New Roman" w:hAnsi="Times New Roman" w:cs="Times New Roman"/>
          <w:lang w:val="en-US"/>
        </w:rPr>
        <w:t>The entity is targeting a 10% and 20% p.a. growth on its Property and Motor portfolios respectively over the ne</w:t>
      </w:r>
      <w:r w:rsidR="00F5285C">
        <w:rPr>
          <w:rFonts w:ascii="Times New Roman" w:hAnsi="Times New Roman" w:cs="Times New Roman"/>
          <w:lang w:val="en-US"/>
        </w:rPr>
        <w:t>xt</w:t>
      </w:r>
      <w:r w:rsidRPr="00880E0A" w:rsidR="00F5285C">
        <w:rPr>
          <w:rFonts w:ascii="Times New Roman" w:hAnsi="Times New Roman" w:cs="Times New Roman"/>
          <w:lang w:val="en-US"/>
        </w:rPr>
        <w:t xml:space="preserve"> </w:t>
      </w:r>
      <w:r w:rsidR="00796101">
        <w:rPr>
          <w:rFonts w:hint="eastAsia" w:ascii="Times New Roman" w:hAnsi="Times New Roman" w:cs="Times New Roman"/>
          <w:lang w:val="en-US"/>
        </w:rPr>
        <w:t>few</w:t>
      </w:r>
      <w:r w:rsidR="00F5285C">
        <w:rPr>
          <w:rFonts w:ascii="Times New Roman" w:hAnsi="Times New Roman" w:cs="Times New Roman"/>
          <w:lang w:val="en-US"/>
        </w:rPr>
        <w:t xml:space="preserve"> </w:t>
      </w:r>
      <w:r w:rsidRPr="00880E0A" w:rsidR="00F5285C">
        <w:rPr>
          <w:rFonts w:ascii="Times New Roman" w:hAnsi="Times New Roman" w:cs="Times New Roman"/>
          <w:lang w:val="en-US"/>
        </w:rPr>
        <w:t>years.</w:t>
      </w:r>
    </w:p>
    <w:p w:rsidR="00600B3C" w:rsidP="001F0784" w:rsidRDefault="00600B3C" w14:paraId="076315BD" w14:textId="77777777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:rsidR="00880E0A" w:rsidP="001F0784" w:rsidRDefault="00BC7A10" w14:paraId="6965916A" w14:textId="50E1F439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Preliminary Round</w:t>
      </w:r>
    </w:p>
    <w:p w:rsidRPr="00880E0A" w:rsidR="00BC7A10" w:rsidP="001F0784" w:rsidRDefault="00BC7A10" w14:paraId="7D7950B0" w14:textId="77777777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:rsidRPr="00BC7A10" w:rsidR="002B6289" w:rsidP="002B6289" w:rsidRDefault="001A64CA" w14:paraId="07A21B12" w14:textId="16225B6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preliminary round, you are required to examine </w:t>
      </w:r>
      <w:r w:rsidRPr="00880E0A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existing </w:t>
      </w:r>
      <w:r w:rsidRPr="00880E0A">
        <w:rPr>
          <w:rFonts w:ascii="Times New Roman" w:hAnsi="Times New Roman" w:cs="Times New Roman"/>
          <w:lang w:val="en-US"/>
        </w:rPr>
        <w:t xml:space="preserve">reinsurance arrangement </w:t>
      </w:r>
      <w:r>
        <w:rPr>
          <w:rFonts w:ascii="Times New Roman" w:hAnsi="Times New Roman" w:cs="Times New Roman"/>
          <w:lang w:val="en-US"/>
        </w:rPr>
        <w:t>of Great Insurance or</w:t>
      </w:r>
      <w:r w:rsidRPr="00880E0A">
        <w:rPr>
          <w:rFonts w:ascii="Times New Roman" w:hAnsi="Times New Roman" w:cs="Times New Roman"/>
          <w:lang w:val="en-US"/>
        </w:rPr>
        <w:t xml:space="preserve"> whatever alternative structure </w:t>
      </w:r>
      <w:r>
        <w:rPr>
          <w:rFonts w:ascii="Times New Roman" w:hAnsi="Times New Roman" w:cs="Times New Roman"/>
          <w:lang w:val="en-US"/>
        </w:rPr>
        <w:t xml:space="preserve">that may be </w:t>
      </w:r>
      <w:r w:rsidRPr="00880E0A">
        <w:rPr>
          <w:rFonts w:ascii="Times New Roman" w:hAnsi="Times New Roman" w:cs="Times New Roman"/>
          <w:lang w:val="en-US"/>
        </w:rPr>
        <w:t>deemed appropriate</w:t>
      </w:r>
      <w:r>
        <w:rPr>
          <w:rFonts w:ascii="Times New Roman" w:hAnsi="Times New Roman" w:cs="Times New Roman"/>
          <w:lang w:val="en-US"/>
        </w:rPr>
        <w:t xml:space="preserve"> for the entity’s </w:t>
      </w:r>
      <w:r>
        <w:rPr>
          <w:rFonts w:ascii="Times New Roman" w:hAnsi="Times New Roman" w:cs="Times New Roman"/>
          <w:b/>
          <w:bCs/>
          <w:lang w:val="en-US"/>
        </w:rPr>
        <w:t>Property p</w:t>
      </w:r>
      <w:r w:rsidRPr="00BC7A10">
        <w:rPr>
          <w:rFonts w:ascii="Times New Roman" w:hAnsi="Times New Roman" w:cs="Times New Roman"/>
          <w:b/>
          <w:bCs/>
          <w:lang w:val="en-US"/>
        </w:rPr>
        <w:t>ortfolio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3FC4">
        <w:rPr>
          <w:rFonts w:ascii="Times New Roman" w:hAnsi="Times New Roman" w:cs="Times New Roman"/>
          <w:lang w:val="en-US"/>
        </w:rPr>
        <w:t>only</w:t>
      </w:r>
      <w:r>
        <w:rPr>
          <w:rFonts w:ascii="Times New Roman" w:hAnsi="Times New Roman" w:cs="Times New Roman"/>
          <w:lang w:val="en-US"/>
        </w:rPr>
        <w:t xml:space="preserve">. </w:t>
      </w:r>
      <w:r w:rsidR="00821DCE">
        <w:rPr>
          <w:rFonts w:ascii="Times New Roman" w:hAnsi="Times New Roman" w:cs="Times New Roman"/>
          <w:lang w:val="en-US"/>
        </w:rPr>
        <w:t xml:space="preserve">You </w:t>
      </w:r>
      <w:r w:rsidR="00CF59F9">
        <w:rPr>
          <w:rFonts w:ascii="Times New Roman" w:hAnsi="Times New Roman" w:cs="Times New Roman"/>
          <w:lang w:val="en-US"/>
        </w:rPr>
        <w:t>were</w:t>
      </w:r>
      <w:r w:rsidR="00821DCE">
        <w:rPr>
          <w:rFonts w:ascii="Times New Roman" w:hAnsi="Times New Roman" w:cs="Times New Roman"/>
          <w:lang w:val="en-US"/>
        </w:rPr>
        <w:t xml:space="preserve"> also informed that </w:t>
      </w:r>
      <w:r w:rsidR="002B6289">
        <w:rPr>
          <w:rFonts w:ascii="Times New Roman" w:hAnsi="Times New Roman" w:cs="Times New Roman"/>
          <w:lang w:val="en-US"/>
        </w:rPr>
        <w:t>i</w:t>
      </w:r>
      <w:r w:rsidRPr="00BC7A10" w:rsidR="002B6289">
        <w:rPr>
          <w:rFonts w:ascii="Times New Roman" w:hAnsi="Times New Roman" w:cs="Times New Roman"/>
          <w:lang w:val="en-US"/>
        </w:rPr>
        <w:t xml:space="preserve">nsurance entities in Eastern Republic are governed by a relatively simple </w:t>
      </w:r>
      <w:r w:rsidR="002B6289">
        <w:rPr>
          <w:rFonts w:ascii="Times New Roman" w:hAnsi="Times New Roman" w:cs="Times New Roman"/>
          <w:lang w:val="en-US"/>
        </w:rPr>
        <w:t xml:space="preserve">local </w:t>
      </w:r>
      <w:r w:rsidRPr="00BC7A10" w:rsidR="002B6289">
        <w:rPr>
          <w:rFonts w:ascii="Times New Roman" w:hAnsi="Times New Roman" w:cs="Times New Roman"/>
          <w:lang w:val="en-US"/>
        </w:rPr>
        <w:t>capital requirement as compared to Malaysia, based on the following formula:</w:t>
      </w:r>
    </w:p>
    <w:p w:rsidRPr="00A53293" w:rsidR="00681B83" w:rsidP="005952FB" w:rsidRDefault="002B6289" w14:paraId="725E1C96" w14:textId="5586003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Capital Adequacy Ratio 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CAR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Admittable Asset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0.8 ×Net Written Premium Over Past 12 Months</m:t>
              </m:r>
            </m:den>
          </m:f>
        </m:oMath>
      </m:oMathPara>
    </w:p>
    <w:p w:rsidR="00821DCE" w:rsidP="00FB52C6" w:rsidRDefault="002B6289" w14:paraId="1FC30FFF" w14:textId="77777777">
      <w:pPr>
        <w:jc w:val="both"/>
        <w:rPr>
          <w:rFonts w:ascii="Times New Roman" w:hAnsi="Times New Roman" w:cs="Times New Roman"/>
          <w:lang w:val="en-US"/>
        </w:rPr>
      </w:pPr>
      <w:r w:rsidRPr="00826423">
        <w:rPr>
          <w:rFonts w:ascii="Times New Roman" w:hAnsi="Times New Roman" w:cs="Times New Roman"/>
          <w:lang w:val="en-US"/>
        </w:rPr>
        <w:t>The min</w:t>
      </w:r>
      <w:r>
        <w:rPr>
          <w:rFonts w:ascii="Times New Roman" w:hAnsi="Times New Roman" w:cs="Times New Roman"/>
          <w:lang w:val="en-US"/>
        </w:rPr>
        <w:t>imum regulatory threshold is 120%.</w:t>
      </w:r>
      <w:r w:rsidR="009F48A9">
        <w:rPr>
          <w:rFonts w:ascii="Times New Roman" w:hAnsi="Times New Roman" w:cs="Times New Roman"/>
          <w:lang w:val="en-US"/>
        </w:rPr>
        <w:t xml:space="preserve"> </w:t>
      </w:r>
    </w:p>
    <w:p w:rsidR="00821DCE" w:rsidP="00821DCE" w:rsidRDefault="00821DCE" w14:paraId="0CEC88F7" w14:textId="48AC8F0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this exercise, you may assume that:</w:t>
      </w:r>
    </w:p>
    <w:p w:rsidR="00821DCE" w:rsidP="00821DCE" w:rsidRDefault="00821DCE" w14:paraId="694F348F" w14:textId="5CAC57A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826423">
        <w:rPr>
          <w:rFonts w:ascii="Times New Roman" w:hAnsi="Times New Roman" w:cs="Times New Roman"/>
          <w:lang w:val="en-US"/>
        </w:rPr>
        <w:t xml:space="preserve">Underwriting Profit </w:t>
      </w:r>
      <w:r>
        <w:rPr>
          <w:rFonts w:ascii="Times New Roman" w:hAnsi="Times New Roman" w:cs="Times New Roman"/>
          <w:lang w:val="en-US"/>
        </w:rPr>
        <w:t xml:space="preserve">after Tax </w:t>
      </w:r>
      <w:r w:rsidRPr="00826423">
        <w:rPr>
          <w:rFonts w:ascii="Times New Roman" w:hAnsi="Times New Roman" w:cs="Times New Roman"/>
          <w:lang w:val="en-US"/>
        </w:rPr>
        <w:t>= Net Written Premium – Net Claim Incurred – Net Commission – Management Expense</w:t>
      </w:r>
      <w:r>
        <w:rPr>
          <w:rFonts w:ascii="Times New Roman" w:hAnsi="Times New Roman" w:cs="Times New Roman"/>
          <w:lang w:val="en-US"/>
        </w:rPr>
        <w:t xml:space="preserve"> – Tax</w:t>
      </w:r>
      <w:r w:rsidR="00CB58BC">
        <w:rPr>
          <w:rFonts w:ascii="Times New Roman" w:hAnsi="Times New Roman" w:cs="Times New Roman"/>
          <w:lang w:val="en-US"/>
        </w:rPr>
        <w:t>.</w:t>
      </w:r>
    </w:p>
    <w:p w:rsidRPr="00FB52C6" w:rsidR="006C27C0" w:rsidP="00821DCE" w:rsidRDefault="006C27C0" w14:paraId="235BCD5B" w14:textId="3529084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</w:t>
      </w:r>
      <w:r w:rsidR="00FE3716">
        <w:rPr>
          <w:rFonts w:ascii="Times New Roman" w:hAnsi="Times New Roman" w:cs="Times New Roman"/>
          <w:lang w:val="en-US"/>
        </w:rPr>
        <w:t>premiums written to</w:t>
      </w:r>
      <w:r w:rsidR="00392ECC">
        <w:rPr>
          <w:rFonts w:ascii="Times New Roman" w:hAnsi="Times New Roman" w:cs="Times New Roman"/>
          <w:lang w:val="en-US"/>
        </w:rPr>
        <w:t>-</w:t>
      </w:r>
      <w:r w:rsidR="00FE3716">
        <w:rPr>
          <w:rFonts w:ascii="Times New Roman" w:hAnsi="Times New Roman" w:cs="Times New Roman"/>
          <w:lang w:val="en-US"/>
        </w:rPr>
        <w:t xml:space="preserve">date are fully earned and all </w:t>
      </w:r>
      <w:r>
        <w:rPr>
          <w:rFonts w:ascii="Times New Roman" w:hAnsi="Times New Roman" w:cs="Times New Roman"/>
          <w:lang w:val="en-US"/>
        </w:rPr>
        <w:t>claims incurred</w:t>
      </w:r>
      <w:r w:rsidR="006C47E5">
        <w:rPr>
          <w:rFonts w:ascii="Times New Roman" w:hAnsi="Times New Roman" w:cs="Times New Roman"/>
          <w:lang w:val="en-US"/>
        </w:rPr>
        <w:t xml:space="preserve"> to</w:t>
      </w:r>
      <w:r w:rsidR="00392ECC">
        <w:rPr>
          <w:rFonts w:ascii="Times New Roman" w:hAnsi="Times New Roman" w:cs="Times New Roman"/>
          <w:lang w:val="en-US"/>
        </w:rPr>
        <w:t>-</w:t>
      </w:r>
      <w:r w:rsidR="006C47E5"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  <w:lang w:val="en-US"/>
        </w:rPr>
        <w:t xml:space="preserve"> are </w:t>
      </w:r>
      <w:r w:rsidR="006C47E5">
        <w:rPr>
          <w:rFonts w:ascii="Times New Roman" w:hAnsi="Times New Roman" w:cs="Times New Roman"/>
          <w:lang w:val="en-US"/>
        </w:rPr>
        <w:t>fully</w:t>
      </w:r>
      <w:r>
        <w:rPr>
          <w:rFonts w:ascii="Times New Roman" w:hAnsi="Times New Roman" w:cs="Times New Roman"/>
          <w:lang w:val="en-US"/>
        </w:rPr>
        <w:t xml:space="preserve"> developed.</w:t>
      </w:r>
    </w:p>
    <w:p w:rsidR="00821DCE" w:rsidP="00821DCE" w:rsidRDefault="00821DCE" w14:paraId="04ED1154" w14:textId="4C82D70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96101">
        <w:rPr>
          <w:rFonts w:ascii="Times New Roman" w:hAnsi="Times New Roman" w:cs="Times New Roman"/>
          <w:lang w:val="en-US"/>
        </w:rPr>
        <w:t>Gross Commission = 20% x Gross Written Premium</w:t>
      </w:r>
      <w:r>
        <w:rPr>
          <w:rFonts w:hint="eastAsia" w:ascii="Times New Roman" w:hAnsi="Times New Roman" w:cs="Times New Roman"/>
          <w:lang w:val="en-US"/>
        </w:rPr>
        <w:t xml:space="preserve"> for Property class</w:t>
      </w:r>
      <w:r w:rsidR="006C27C0">
        <w:rPr>
          <w:rFonts w:ascii="Times New Roman" w:hAnsi="Times New Roman" w:cs="Times New Roman"/>
          <w:lang w:val="en-US"/>
        </w:rPr>
        <w:t>.</w:t>
      </w:r>
    </w:p>
    <w:p w:rsidR="00821DCE" w:rsidP="00821DCE" w:rsidRDefault="00821DCE" w14:paraId="540BD0FE" w14:textId="4E59223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96101">
        <w:rPr>
          <w:rFonts w:ascii="Times New Roman" w:hAnsi="Times New Roman" w:cs="Times New Roman"/>
          <w:lang w:val="en-US"/>
        </w:rPr>
        <w:t>Management Expense = 15% x Gross Written Premium</w:t>
      </w:r>
      <w:r>
        <w:rPr>
          <w:rFonts w:hint="eastAsia" w:ascii="Times New Roman" w:hAnsi="Times New Roman" w:cs="Times New Roman"/>
          <w:lang w:val="en-US"/>
        </w:rPr>
        <w:t xml:space="preserve"> for Property class</w:t>
      </w:r>
      <w:r w:rsidR="006C27C0">
        <w:rPr>
          <w:rFonts w:ascii="Times New Roman" w:hAnsi="Times New Roman" w:cs="Times New Roman"/>
          <w:lang w:val="en-US"/>
        </w:rPr>
        <w:t>.</w:t>
      </w:r>
    </w:p>
    <w:p w:rsidR="006C27C0" w:rsidP="006C27C0" w:rsidRDefault="006C27C0" w14:paraId="318EC70B" w14:textId="72E8BD9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Tax rate is 24% of Underwriting Profit Before Tax.</w:t>
      </w:r>
    </w:p>
    <w:p w:rsidRPr="006C27C0" w:rsidR="003E0390" w:rsidP="006C27C0" w:rsidRDefault="003E0390" w14:paraId="6F2FA484" w14:textId="41AF46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relevant, the required rate of return on </w:t>
      </w:r>
      <w:r w:rsidR="00B758BA">
        <w:rPr>
          <w:rFonts w:ascii="Times New Roman" w:hAnsi="Times New Roman" w:cs="Times New Roman"/>
          <w:lang w:val="en-US"/>
        </w:rPr>
        <w:t>shareholders’</w:t>
      </w:r>
      <w:r>
        <w:rPr>
          <w:rFonts w:ascii="Times New Roman" w:hAnsi="Times New Roman" w:cs="Times New Roman"/>
          <w:lang w:val="en-US"/>
        </w:rPr>
        <w:t xml:space="preserve"> capital is 12%.</w:t>
      </w:r>
    </w:p>
    <w:p w:rsidRPr="00821DCE" w:rsidR="00821DCE" w:rsidP="00821DCE" w:rsidRDefault="00821DCE" w14:paraId="598259FC" w14:textId="0A228FF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8D3F1B">
        <w:rPr>
          <w:rFonts w:ascii="Times New Roman" w:hAnsi="Times New Roman" w:cs="Times New Roman"/>
          <w:lang w:val="en-US"/>
        </w:rPr>
        <w:t>simulate</w:t>
      </w:r>
      <w:r>
        <w:rPr>
          <w:rFonts w:ascii="Times New Roman" w:hAnsi="Times New Roman" w:cs="Times New Roman"/>
          <w:lang w:val="en-US"/>
        </w:rPr>
        <w:t xml:space="preserve"> past years</w:t>
      </w:r>
      <w:r w:rsidR="00B758BA">
        <w:rPr>
          <w:rFonts w:ascii="Times New Roman" w:hAnsi="Times New Roman" w:cs="Times New Roman"/>
          <w:lang w:val="en-US"/>
        </w:rPr>
        <w:t>’ or future years</w:t>
      </w:r>
      <w:r>
        <w:rPr>
          <w:rFonts w:ascii="Times New Roman" w:hAnsi="Times New Roman" w:cs="Times New Roman"/>
          <w:lang w:val="en-US"/>
        </w:rPr>
        <w:t xml:space="preserve">’ CAR, </w:t>
      </w:r>
      <w:r w:rsidR="008D3F1B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dmittable </w:t>
      </w:r>
      <w:r w:rsidR="008D3F1B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ssets as at each year-end positions would be affected only by the </w:t>
      </w:r>
      <w:r w:rsidR="008D3F1B">
        <w:rPr>
          <w:rFonts w:ascii="Times New Roman" w:hAnsi="Times New Roman" w:cs="Times New Roman"/>
          <w:lang w:val="en-US"/>
        </w:rPr>
        <w:t xml:space="preserve">Underwriting </w:t>
      </w:r>
      <w:r>
        <w:rPr>
          <w:rFonts w:ascii="Times New Roman" w:hAnsi="Times New Roman" w:cs="Times New Roman"/>
          <w:lang w:val="en-US"/>
        </w:rPr>
        <w:t>Profit after Tax of the current underwriting year.</w:t>
      </w:r>
    </w:p>
    <w:p w:rsidRPr="00FE3716" w:rsidR="00FE3716" w:rsidP="00FE3716" w:rsidRDefault="00821DCE" w14:paraId="2148A05C" w14:textId="24536DC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821DCE">
        <w:rPr>
          <w:rFonts w:ascii="Times New Roman" w:hAnsi="Times New Roman" w:cs="Times New Roman"/>
          <w:lang w:val="en-US"/>
        </w:rPr>
        <w:t>For this round</w:t>
      </w:r>
      <w:r w:rsidR="003365BB">
        <w:rPr>
          <w:rFonts w:ascii="Times New Roman" w:hAnsi="Times New Roman" w:cs="Times New Roman"/>
          <w:lang w:val="en-US"/>
        </w:rPr>
        <w:t xml:space="preserve"> only</w:t>
      </w:r>
      <w:r w:rsidRPr="00821DCE">
        <w:rPr>
          <w:rFonts w:ascii="Times New Roman" w:hAnsi="Times New Roman" w:cs="Times New Roman"/>
          <w:lang w:val="en-US"/>
        </w:rPr>
        <w:t>, Motor portfolio</w:t>
      </w:r>
      <w:r>
        <w:rPr>
          <w:rFonts w:ascii="Times New Roman" w:hAnsi="Times New Roman" w:cs="Times New Roman"/>
          <w:lang w:val="en-US"/>
        </w:rPr>
        <w:t xml:space="preserve"> </w:t>
      </w:r>
      <w:r w:rsidR="00CB58BC">
        <w:rPr>
          <w:rFonts w:ascii="Times New Roman" w:hAnsi="Times New Roman" w:cs="Times New Roman"/>
          <w:lang w:val="en-US"/>
        </w:rPr>
        <w:t>would</w:t>
      </w:r>
      <w:r>
        <w:rPr>
          <w:rFonts w:ascii="Times New Roman" w:hAnsi="Times New Roman" w:cs="Times New Roman"/>
          <w:lang w:val="en-US"/>
        </w:rPr>
        <w:t xml:space="preserve"> not incur any capital requirement. </w:t>
      </w:r>
      <w:r w:rsidRPr="00821DCE">
        <w:rPr>
          <w:rFonts w:ascii="Times New Roman" w:hAnsi="Times New Roman" w:cs="Times New Roman"/>
          <w:lang w:val="en-US"/>
        </w:rPr>
        <w:t xml:space="preserve">Admittable Asset </w:t>
      </w:r>
      <w:r>
        <w:rPr>
          <w:rFonts w:ascii="Times New Roman" w:hAnsi="Times New Roman" w:cs="Times New Roman"/>
          <w:lang w:val="en-US"/>
        </w:rPr>
        <w:t>would</w:t>
      </w:r>
      <w:r w:rsidRPr="00821DCE">
        <w:rPr>
          <w:rFonts w:ascii="Times New Roman" w:hAnsi="Times New Roman" w:cs="Times New Roman"/>
          <w:lang w:val="en-US"/>
        </w:rPr>
        <w:t xml:space="preserve"> not </w:t>
      </w:r>
      <w:r>
        <w:rPr>
          <w:rFonts w:ascii="Times New Roman" w:hAnsi="Times New Roman" w:cs="Times New Roman"/>
          <w:lang w:val="en-US"/>
        </w:rPr>
        <w:t xml:space="preserve">be </w:t>
      </w:r>
      <w:r w:rsidRPr="00821DCE">
        <w:rPr>
          <w:rFonts w:ascii="Times New Roman" w:hAnsi="Times New Roman" w:cs="Times New Roman"/>
          <w:lang w:val="en-US"/>
        </w:rPr>
        <w:t xml:space="preserve">affected by the </w:t>
      </w:r>
      <w:r>
        <w:rPr>
          <w:rFonts w:ascii="Times New Roman" w:hAnsi="Times New Roman" w:cs="Times New Roman"/>
          <w:lang w:val="en-US"/>
        </w:rPr>
        <w:t xml:space="preserve">profit or loss arising from the </w:t>
      </w:r>
      <w:r w:rsidRPr="00821DCE">
        <w:rPr>
          <w:rFonts w:ascii="Times New Roman" w:hAnsi="Times New Roman" w:cs="Times New Roman"/>
          <w:lang w:val="en-US"/>
        </w:rPr>
        <w:t>Motor portfolio.</w:t>
      </w:r>
    </w:p>
    <w:p w:rsidRPr="00FE3716" w:rsidR="000B6227" w:rsidP="00FE3716" w:rsidRDefault="0069178A" w14:paraId="723E16EF" w14:textId="58DC94E3">
      <w:pPr>
        <w:jc w:val="both"/>
        <w:rPr>
          <w:rFonts w:ascii="Times New Roman" w:hAnsi="Times New Roman" w:cs="Times New Roman"/>
          <w:lang w:val="en-US"/>
        </w:rPr>
      </w:pPr>
      <w:r w:rsidRPr="00FE3716">
        <w:rPr>
          <w:rFonts w:ascii="Times New Roman" w:hAnsi="Times New Roman" w:cs="Times New Roman"/>
          <w:lang w:val="en-US"/>
        </w:rPr>
        <w:t xml:space="preserve">You may consider the following steps </w:t>
      </w:r>
      <w:r w:rsidRPr="00FE3716" w:rsidR="005952FB">
        <w:rPr>
          <w:rFonts w:ascii="Times New Roman" w:hAnsi="Times New Roman" w:cs="Times New Roman"/>
          <w:lang w:val="en-US"/>
        </w:rPr>
        <w:t>for</w:t>
      </w:r>
      <w:r w:rsidRPr="00FE3716">
        <w:rPr>
          <w:rFonts w:ascii="Times New Roman" w:hAnsi="Times New Roman" w:cs="Times New Roman"/>
          <w:lang w:val="en-US"/>
        </w:rPr>
        <w:t xml:space="preserve"> </w:t>
      </w:r>
      <w:r w:rsidRPr="00FE3716" w:rsidR="005952FB">
        <w:rPr>
          <w:rFonts w:ascii="Times New Roman" w:hAnsi="Times New Roman" w:cs="Times New Roman"/>
          <w:lang w:val="en-US"/>
        </w:rPr>
        <w:t>this exercise</w:t>
      </w:r>
      <w:r w:rsidRPr="00FE3716">
        <w:rPr>
          <w:rFonts w:ascii="Times New Roman" w:hAnsi="Times New Roman" w:cs="Times New Roman"/>
          <w:lang w:val="en-US"/>
        </w:rPr>
        <w:t>:</w:t>
      </w:r>
    </w:p>
    <w:p w:rsidR="001A64CA" w:rsidP="001A64CA" w:rsidRDefault="001A64CA" w14:paraId="6EFFE834" w14:textId="51D7BE2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Pr="00A2270E">
        <w:rPr>
          <w:rFonts w:ascii="Times New Roman" w:hAnsi="Times New Roman" w:cs="Times New Roman"/>
          <w:lang w:val="en-US"/>
        </w:rPr>
        <w:t>erform a</w:t>
      </w:r>
      <w:r w:rsidR="00A8587B">
        <w:rPr>
          <w:rFonts w:ascii="Times New Roman" w:hAnsi="Times New Roman" w:cs="Times New Roman"/>
          <w:lang w:val="en-US"/>
        </w:rPr>
        <w:t>n</w:t>
      </w:r>
      <w:r w:rsidRPr="00A2270E">
        <w:rPr>
          <w:rFonts w:ascii="Times New Roman" w:hAnsi="Times New Roman" w:cs="Times New Roman"/>
          <w:lang w:val="en-US"/>
        </w:rPr>
        <w:t xml:space="preserve"> </w:t>
      </w:r>
      <w:r w:rsidR="00A8587B">
        <w:rPr>
          <w:rFonts w:ascii="Times New Roman" w:hAnsi="Times New Roman" w:cs="Times New Roman"/>
          <w:lang w:val="en-US"/>
        </w:rPr>
        <w:t>analysis</w:t>
      </w:r>
      <w:r w:rsidRPr="00A2270E">
        <w:rPr>
          <w:rFonts w:ascii="Times New Roman" w:hAnsi="Times New Roman" w:cs="Times New Roman"/>
          <w:lang w:val="en-US"/>
        </w:rPr>
        <w:t xml:space="preserve"> on the </w:t>
      </w:r>
      <w:r>
        <w:rPr>
          <w:rFonts w:ascii="Times New Roman" w:hAnsi="Times New Roman" w:cs="Times New Roman"/>
          <w:lang w:val="en-US"/>
        </w:rPr>
        <w:t xml:space="preserve">gross </w:t>
      </w:r>
      <w:r w:rsidRPr="00A2270E">
        <w:rPr>
          <w:rFonts w:ascii="Times New Roman" w:hAnsi="Times New Roman" w:cs="Times New Roman"/>
          <w:lang w:val="en-US"/>
        </w:rPr>
        <w:t xml:space="preserve">claim experience before any reinsurance for a better understanding of </w:t>
      </w:r>
      <w:r>
        <w:rPr>
          <w:rFonts w:ascii="Times New Roman" w:hAnsi="Times New Roman" w:cs="Times New Roman"/>
          <w:lang w:val="en-US"/>
        </w:rPr>
        <w:t xml:space="preserve">the </w:t>
      </w:r>
      <w:r w:rsidRPr="00A2270E">
        <w:rPr>
          <w:rFonts w:ascii="Times New Roman" w:hAnsi="Times New Roman" w:cs="Times New Roman"/>
          <w:lang w:val="en-US"/>
        </w:rPr>
        <w:t>portfolio.</w:t>
      </w:r>
      <w:r>
        <w:rPr>
          <w:rFonts w:ascii="Times New Roman" w:hAnsi="Times New Roman" w:cs="Times New Roman"/>
          <w:lang w:val="en-US"/>
        </w:rPr>
        <w:t xml:space="preserve"> This may include a review of the portfolio’s loss ratio, premium mix </w:t>
      </w:r>
      <w:r w:rsidR="008027D2">
        <w:rPr>
          <w:rFonts w:ascii="Times New Roman" w:hAnsi="Times New Roman" w:cs="Times New Roman"/>
          <w:lang w:val="en-US"/>
        </w:rPr>
        <w:t>by segments</w:t>
      </w:r>
      <w:r w:rsidR="00E26797">
        <w:rPr>
          <w:rFonts w:ascii="Times New Roman" w:hAnsi="Times New Roman" w:cs="Times New Roman"/>
          <w:lang w:val="en-US"/>
        </w:rPr>
        <w:t xml:space="preserve"> or claim trends</w:t>
      </w:r>
      <w:r w:rsidR="008027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etc.</w:t>
      </w:r>
      <w:r w:rsidR="00E26797">
        <w:rPr>
          <w:rFonts w:ascii="Times New Roman" w:hAnsi="Times New Roman" w:cs="Times New Roman"/>
          <w:lang w:val="en-US"/>
        </w:rPr>
        <w:t xml:space="preserve"> Your analysis may be performed on an underwriting year basis or accident year basis, </w:t>
      </w:r>
      <w:r w:rsidR="006C47E5">
        <w:rPr>
          <w:rFonts w:ascii="Times New Roman" w:hAnsi="Times New Roman" w:cs="Times New Roman"/>
          <w:lang w:val="en-US"/>
        </w:rPr>
        <w:t>wherever</w:t>
      </w:r>
      <w:r w:rsidR="00E26797">
        <w:rPr>
          <w:rFonts w:ascii="Times New Roman" w:hAnsi="Times New Roman" w:cs="Times New Roman"/>
          <w:lang w:val="en-US"/>
        </w:rPr>
        <w:t xml:space="preserve"> appropriate.</w:t>
      </w:r>
    </w:p>
    <w:p w:rsidR="00CD5D85" w:rsidP="00CD5D85" w:rsidRDefault="00796101" w14:paraId="28576916" w14:textId="72560E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/>
        </w:rPr>
        <w:t>A</w:t>
      </w:r>
      <w:r w:rsidR="001A64CA">
        <w:rPr>
          <w:rFonts w:ascii="Times New Roman" w:hAnsi="Times New Roman" w:cs="Times New Roman"/>
          <w:lang w:val="en-US"/>
        </w:rPr>
        <w:t>pply</w:t>
      </w:r>
      <w:r w:rsidRPr="00A2270E" w:rsidR="001A64CA">
        <w:rPr>
          <w:rFonts w:ascii="Times New Roman" w:hAnsi="Times New Roman" w:cs="Times New Roman"/>
          <w:lang w:val="en-US"/>
        </w:rPr>
        <w:t xml:space="preserve"> </w:t>
      </w:r>
      <w:r w:rsidR="00C27EDC">
        <w:rPr>
          <w:rFonts w:ascii="Times New Roman" w:hAnsi="Times New Roman" w:cs="Times New Roman"/>
          <w:lang w:val="en-US"/>
        </w:rPr>
        <w:t xml:space="preserve">the </w:t>
      </w:r>
      <w:r w:rsidR="001A64CA">
        <w:rPr>
          <w:rFonts w:ascii="Times New Roman" w:hAnsi="Times New Roman" w:cs="Times New Roman"/>
          <w:lang w:val="en-US"/>
        </w:rPr>
        <w:t>Great Insurance Malaysia’s</w:t>
      </w:r>
      <w:r w:rsidRPr="00A2270E" w:rsidR="001A64CA">
        <w:rPr>
          <w:rFonts w:ascii="Times New Roman" w:hAnsi="Times New Roman" w:cs="Times New Roman"/>
          <w:lang w:val="en-US"/>
        </w:rPr>
        <w:t xml:space="preserve"> </w:t>
      </w:r>
      <w:r w:rsidR="001A64CA">
        <w:rPr>
          <w:rFonts w:ascii="Times New Roman" w:hAnsi="Times New Roman" w:cs="Times New Roman"/>
          <w:lang w:val="en-US"/>
        </w:rPr>
        <w:t xml:space="preserve">current </w:t>
      </w:r>
      <w:r w:rsidRPr="00A2270E" w:rsidR="001A64CA">
        <w:rPr>
          <w:rFonts w:ascii="Times New Roman" w:hAnsi="Times New Roman" w:cs="Times New Roman"/>
          <w:lang w:val="en-US"/>
        </w:rPr>
        <w:t xml:space="preserve">reinsurance arrangement </w:t>
      </w:r>
      <w:r w:rsidR="009F48A9">
        <w:rPr>
          <w:rFonts w:ascii="Times New Roman" w:hAnsi="Times New Roman" w:cs="Times New Roman"/>
          <w:lang w:val="en-US"/>
        </w:rPr>
        <w:t>to</w:t>
      </w:r>
      <w:r>
        <w:rPr>
          <w:rFonts w:hint="eastAsia" w:ascii="Times New Roman" w:hAnsi="Times New Roman" w:cs="Times New Roman"/>
          <w:lang w:val="en-US"/>
        </w:rPr>
        <w:t xml:space="preserve"> the entity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hint="eastAsia" w:ascii="Times New Roman" w:hAnsi="Times New Roman" w:cs="Times New Roman"/>
          <w:lang w:val="en-US"/>
        </w:rPr>
        <w:t>s past five years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hint="eastAsia" w:ascii="Times New Roman" w:hAnsi="Times New Roman" w:cs="Times New Roman"/>
          <w:lang w:val="en-US"/>
        </w:rPr>
        <w:t xml:space="preserve"> claim experience </w:t>
      </w:r>
      <w:r w:rsidR="001A64CA">
        <w:rPr>
          <w:rFonts w:ascii="Times New Roman" w:hAnsi="Times New Roman" w:cs="Times New Roman"/>
          <w:lang w:val="en-US"/>
        </w:rPr>
        <w:t xml:space="preserve">to examine if the existing arrangement is </w:t>
      </w:r>
      <w:r w:rsidR="008027D2">
        <w:rPr>
          <w:rFonts w:ascii="Times New Roman" w:hAnsi="Times New Roman" w:cs="Times New Roman"/>
          <w:lang w:val="en-US"/>
        </w:rPr>
        <w:t>appropriate</w:t>
      </w:r>
      <w:r w:rsidR="001A64CA">
        <w:rPr>
          <w:rFonts w:ascii="Times New Roman" w:hAnsi="Times New Roman" w:cs="Times New Roman"/>
          <w:lang w:val="en-US"/>
        </w:rPr>
        <w:t>.</w:t>
      </w:r>
      <w:r w:rsidR="009F48A9">
        <w:rPr>
          <w:rFonts w:ascii="Times New Roman" w:hAnsi="Times New Roman" w:cs="Times New Roman"/>
          <w:lang w:val="en-US"/>
        </w:rPr>
        <w:t xml:space="preserve"> </w:t>
      </w:r>
    </w:p>
    <w:p w:rsidRPr="00A8587B" w:rsidR="00A8587B" w:rsidP="00BD4F72" w:rsidRDefault="001A64CA" w14:paraId="529015FB" w14:textId="6FAB768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Propose </w:t>
      </w:r>
      <w:r w:rsidRPr="00A2270E">
        <w:rPr>
          <w:rFonts w:ascii="Times New Roman" w:hAnsi="Times New Roman" w:cs="Times New Roman"/>
          <w:lang w:val="en-US"/>
        </w:rPr>
        <w:t xml:space="preserve">whatever </w:t>
      </w:r>
      <w:r>
        <w:rPr>
          <w:rFonts w:ascii="Times New Roman" w:hAnsi="Times New Roman" w:cs="Times New Roman"/>
          <w:lang w:val="en-US"/>
        </w:rPr>
        <w:t xml:space="preserve">changes or </w:t>
      </w:r>
      <w:r w:rsidRPr="00A2270E">
        <w:rPr>
          <w:rFonts w:ascii="Times New Roman" w:hAnsi="Times New Roman" w:cs="Times New Roman"/>
          <w:lang w:val="en-US"/>
        </w:rPr>
        <w:t xml:space="preserve">alternative structure deemed </w:t>
      </w:r>
      <w:r w:rsidR="00466829">
        <w:rPr>
          <w:rFonts w:ascii="Times New Roman" w:hAnsi="Times New Roman" w:cs="Times New Roman"/>
          <w:lang w:val="en-US"/>
        </w:rPr>
        <w:t xml:space="preserve">necessary </w:t>
      </w:r>
      <w:r w:rsidRPr="00A2270E">
        <w:rPr>
          <w:rFonts w:ascii="Times New Roman" w:hAnsi="Times New Roman" w:cs="Times New Roman"/>
          <w:lang w:val="en-US"/>
        </w:rPr>
        <w:t>for the entity</w:t>
      </w:r>
      <w:r>
        <w:rPr>
          <w:rFonts w:ascii="Times New Roman" w:hAnsi="Times New Roman" w:cs="Times New Roman"/>
          <w:lang w:val="en-US"/>
        </w:rPr>
        <w:t xml:space="preserve">, </w:t>
      </w:r>
      <w:r w:rsidR="000A75B8">
        <w:rPr>
          <w:rFonts w:ascii="Times New Roman" w:hAnsi="Times New Roman" w:cs="Times New Roman"/>
          <w:lang w:val="en-US"/>
        </w:rPr>
        <w:t xml:space="preserve">with the </w:t>
      </w:r>
      <w:r w:rsidR="00A8587B">
        <w:rPr>
          <w:rFonts w:ascii="Times New Roman" w:hAnsi="Times New Roman" w:cs="Times New Roman"/>
          <w:lang w:val="en-US"/>
        </w:rPr>
        <w:t xml:space="preserve">general </w:t>
      </w:r>
      <w:r w:rsidR="000A75B8">
        <w:rPr>
          <w:rFonts w:ascii="Times New Roman" w:hAnsi="Times New Roman" w:cs="Times New Roman"/>
          <w:lang w:val="en-US"/>
        </w:rPr>
        <w:t>objective</w:t>
      </w:r>
      <w:r w:rsidR="00C27EDC">
        <w:rPr>
          <w:rFonts w:ascii="Times New Roman" w:hAnsi="Times New Roman" w:cs="Times New Roman"/>
          <w:lang w:val="en-US"/>
        </w:rPr>
        <w:t>s</w:t>
      </w:r>
      <w:r w:rsidR="000A75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of maximizing long-term returns, minimizing short-term volatilities in </w:t>
      </w:r>
      <w:r w:rsidR="000A75B8">
        <w:rPr>
          <w:rFonts w:ascii="Times New Roman" w:hAnsi="Times New Roman" w:cs="Times New Roman"/>
          <w:lang w:val="en-US"/>
        </w:rPr>
        <w:t>underwriting profits</w:t>
      </w:r>
      <w:r>
        <w:rPr>
          <w:rFonts w:ascii="Times New Roman" w:hAnsi="Times New Roman" w:cs="Times New Roman"/>
          <w:lang w:val="en-US"/>
        </w:rPr>
        <w:t xml:space="preserve"> and</w:t>
      </w:r>
      <w:r w:rsidR="001642FF">
        <w:rPr>
          <w:rFonts w:ascii="Times New Roman" w:hAnsi="Times New Roman" w:cs="Times New Roman"/>
          <w:lang w:val="en-US"/>
        </w:rPr>
        <w:t xml:space="preserve"> maintaining </w:t>
      </w:r>
      <w:r w:rsidR="00466829">
        <w:rPr>
          <w:rFonts w:ascii="Times New Roman" w:hAnsi="Times New Roman" w:cs="Times New Roman"/>
          <w:lang w:val="en-US"/>
        </w:rPr>
        <w:t xml:space="preserve">a </w:t>
      </w:r>
      <w:r w:rsidR="00CB28A9">
        <w:rPr>
          <w:rFonts w:ascii="Times New Roman" w:hAnsi="Times New Roman" w:cs="Times New Roman"/>
          <w:lang w:val="en-US"/>
        </w:rPr>
        <w:t>CAR</w:t>
      </w:r>
      <w:r w:rsidR="001642FF">
        <w:rPr>
          <w:rFonts w:ascii="Times New Roman" w:hAnsi="Times New Roman" w:cs="Times New Roman"/>
          <w:lang w:val="en-US"/>
        </w:rPr>
        <w:t xml:space="preserve"> above the regulatory threshold</w:t>
      </w:r>
      <w:r w:rsidR="0069178A">
        <w:rPr>
          <w:rFonts w:ascii="Times New Roman" w:hAnsi="Times New Roman" w:cs="Times New Roman"/>
          <w:lang w:val="en-US"/>
        </w:rPr>
        <w:t>.</w:t>
      </w:r>
    </w:p>
    <w:p w:rsidR="00BC7A10" w:rsidP="00BD4F72" w:rsidRDefault="00BC7A10" w14:paraId="1D021D2C" w14:textId="48D9474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this round, you are provided with the following information:</w:t>
      </w:r>
    </w:p>
    <w:p w:rsidR="00BC7A10" w:rsidP="00BD4F72" w:rsidRDefault="00BC7A10" w14:paraId="3A369FB2" w14:textId="122CC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 xml:space="preserve">Breakdown of gross </w:t>
      </w:r>
      <w:r w:rsidR="00CB28A9">
        <w:rPr>
          <w:rFonts w:ascii="Times New Roman" w:hAnsi="Times New Roman" w:cs="Times New Roman"/>
          <w:lang w:val="en-US"/>
        </w:rPr>
        <w:t xml:space="preserve">and facultative </w:t>
      </w:r>
      <w:r w:rsidRPr="00880E0A">
        <w:rPr>
          <w:rFonts w:ascii="Times New Roman" w:hAnsi="Times New Roman" w:cs="Times New Roman"/>
          <w:lang w:val="en-US"/>
        </w:rPr>
        <w:t>written premium</w:t>
      </w:r>
      <w:r>
        <w:rPr>
          <w:rFonts w:ascii="Times New Roman" w:hAnsi="Times New Roman" w:cs="Times New Roman"/>
          <w:lang w:val="en-US"/>
        </w:rPr>
        <w:t xml:space="preserve"> </w:t>
      </w:r>
      <w:r w:rsidRPr="00880E0A">
        <w:rPr>
          <w:rFonts w:ascii="Times New Roman" w:hAnsi="Times New Roman" w:cs="Times New Roman"/>
          <w:lang w:val="en-US"/>
        </w:rPr>
        <w:t xml:space="preserve">by sum insured band, </w:t>
      </w:r>
      <w:r>
        <w:rPr>
          <w:rFonts w:ascii="Times New Roman" w:hAnsi="Times New Roman" w:cs="Times New Roman"/>
          <w:lang w:val="en-US"/>
        </w:rPr>
        <w:t xml:space="preserve">type of </w:t>
      </w:r>
      <w:r w:rsidRPr="00880E0A">
        <w:rPr>
          <w:rFonts w:ascii="Times New Roman" w:hAnsi="Times New Roman" w:cs="Times New Roman"/>
          <w:lang w:val="en-US"/>
        </w:rPr>
        <w:t>occupancy type</w:t>
      </w:r>
      <w:r>
        <w:rPr>
          <w:rFonts w:ascii="Times New Roman" w:hAnsi="Times New Roman" w:cs="Times New Roman"/>
          <w:lang w:val="en-US"/>
        </w:rPr>
        <w:t xml:space="preserve"> and hazard level</w:t>
      </w:r>
      <w:r w:rsidRPr="00880E0A">
        <w:rPr>
          <w:rFonts w:ascii="Times New Roman" w:hAnsi="Times New Roman" w:cs="Times New Roman"/>
          <w:lang w:val="en-US"/>
        </w:rPr>
        <w:t xml:space="preserve"> for past </w:t>
      </w:r>
      <w:r>
        <w:rPr>
          <w:rFonts w:ascii="Times New Roman" w:hAnsi="Times New Roman" w:cs="Times New Roman"/>
          <w:lang w:val="en-US"/>
        </w:rPr>
        <w:t>5</w:t>
      </w:r>
      <w:r w:rsidRPr="00880E0A">
        <w:rPr>
          <w:rFonts w:ascii="Times New Roman" w:hAnsi="Times New Roman" w:cs="Times New Roman"/>
          <w:lang w:val="en-US"/>
        </w:rPr>
        <w:t xml:space="preserve"> years (201</w:t>
      </w:r>
      <w:r>
        <w:rPr>
          <w:rFonts w:ascii="Times New Roman" w:hAnsi="Times New Roman" w:cs="Times New Roman"/>
          <w:lang w:val="en-US"/>
        </w:rPr>
        <w:t>9</w:t>
      </w:r>
      <w:r w:rsidRPr="00880E0A">
        <w:rPr>
          <w:rFonts w:ascii="Times New Roman" w:hAnsi="Times New Roman" w:cs="Times New Roman"/>
          <w:lang w:val="en-US"/>
        </w:rPr>
        <w:t>-2023) for Property business.</w:t>
      </w:r>
    </w:p>
    <w:p w:rsidRPr="00CD5D85" w:rsidR="00CD5D85" w:rsidP="00CD5D85" w:rsidRDefault="00BC7A10" w14:paraId="6BED07E0" w14:textId="2E0FD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 xml:space="preserve">Listing of claims for past </w:t>
      </w:r>
      <w:r>
        <w:rPr>
          <w:rFonts w:ascii="Times New Roman" w:hAnsi="Times New Roman" w:cs="Times New Roman"/>
          <w:lang w:val="en-US"/>
        </w:rPr>
        <w:t>5</w:t>
      </w:r>
      <w:r w:rsidRPr="00880E0A">
        <w:rPr>
          <w:rFonts w:ascii="Times New Roman" w:hAnsi="Times New Roman" w:cs="Times New Roman"/>
          <w:lang w:val="en-US"/>
        </w:rPr>
        <w:t xml:space="preserve"> years (201</w:t>
      </w:r>
      <w:r>
        <w:rPr>
          <w:rFonts w:ascii="Times New Roman" w:hAnsi="Times New Roman" w:cs="Times New Roman"/>
          <w:lang w:val="en-US"/>
        </w:rPr>
        <w:t>9</w:t>
      </w:r>
      <w:r w:rsidRPr="00880E0A">
        <w:rPr>
          <w:rFonts w:ascii="Times New Roman" w:hAnsi="Times New Roman" w:cs="Times New Roman"/>
          <w:lang w:val="en-US"/>
        </w:rPr>
        <w:t>-2023) for Property business.</w:t>
      </w:r>
    </w:p>
    <w:p w:rsidR="00CD5D85" w:rsidP="00CD5D85" w:rsidRDefault="00BC7A10" w14:paraId="6239AC68" w14:textId="46BC2B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>Existing reinsurance structure of Great Insurance Malaysia.</w:t>
      </w:r>
    </w:p>
    <w:p w:rsidR="00821DCE" w:rsidP="00CD5D85" w:rsidRDefault="00821DCE" w14:paraId="7DD8911F" w14:textId="0484F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Admittable Asset of the entity as at 31 December 2023 is $500,000,000 Eastern Dollar (ED).</w:t>
      </w:r>
    </w:p>
    <w:p w:rsidR="000A75B8" w:rsidP="00CB28A9" w:rsidRDefault="00AF4770" w14:paraId="2D16A747" w14:textId="2A55F21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2270E">
        <w:rPr>
          <w:rFonts w:ascii="Times New Roman" w:hAnsi="Times New Roman" w:cs="Times New Roman"/>
          <w:lang w:val="en-US"/>
        </w:rPr>
        <w:t xml:space="preserve">You may </w:t>
      </w:r>
      <w:r>
        <w:rPr>
          <w:rFonts w:ascii="Times New Roman" w:hAnsi="Times New Roman" w:cs="Times New Roman"/>
          <w:lang w:val="en-US"/>
        </w:rPr>
        <w:t xml:space="preserve">also </w:t>
      </w:r>
      <w:r w:rsidRPr="00A2270E">
        <w:rPr>
          <w:rFonts w:ascii="Times New Roman" w:hAnsi="Times New Roman" w:cs="Times New Roman"/>
          <w:lang w:val="en-US"/>
        </w:rPr>
        <w:t>assume that the impending acquisition will have no impact on the entity’s insurance operation, capital structure and adequacy.</w:t>
      </w:r>
    </w:p>
    <w:p w:rsidRPr="000A75B8" w:rsidR="00CB28A9" w:rsidP="00E37F6D" w:rsidRDefault="00CB28A9" w14:paraId="3FC22905" w14:textId="7777777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C7A10" w:rsidP="00A53293" w:rsidRDefault="00BC7A10" w14:paraId="4090A2E2" w14:textId="6C01796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BC7A10">
        <w:rPr>
          <w:rFonts w:ascii="Times New Roman" w:hAnsi="Times New Roman" w:cs="Times New Roman"/>
          <w:b/>
          <w:bCs/>
          <w:lang w:val="en-US"/>
        </w:rPr>
        <w:t>Final Round</w:t>
      </w:r>
    </w:p>
    <w:p w:rsidRPr="00BC7A10" w:rsidR="00CD5D85" w:rsidP="00CD5D85" w:rsidRDefault="00CD5D85" w14:paraId="5EC37278" w14:textId="77777777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:rsidR="00913FC4" w:rsidP="00BD4F72" w:rsidRDefault="00BC7A10" w14:paraId="3FF0DA23" w14:textId="39B6417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final round, you are required to consider both the </w:t>
      </w:r>
      <w:r w:rsidR="00796101">
        <w:rPr>
          <w:rFonts w:hint="eastAsia" w:ascii="Times New Roman" w:hAnsi="Times New Roman" w:cs="Times New Roman"/>
          <w:b/>
          <w:bCs/>
          <w:lang w:val="en-US"/>
        </w:rPr>
        <w:t>Property</w:t>
      </w:r>
      <w:r w:rsidRPr="002C620C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="00796101">
        <w:rPr>
          <w:rFonts w:hint="eastAsia" w:ascii="Times New Roman" w:hAnsi="Times New Roman" w:cs="Times New Roman"/>
          <w:b/>
          <w:bCs/>
          <w:lang w:val="en-US"/>
        </w:rPr>
        <w:t>Motor</w:t>
      </w:r>
      <w:r w:rsidRPr="002C620C">
        <w:rPr>
          <w:rFonts w:ascii="Times New Roman" w:hAnsi="Times New Roman" w:cs="Times New Roman"/>
          <w:b/>
          <w:bCs/>
          <w:lang w:val="en-US"/>
        </w:rPr>
        <w:t xml:space="preserve"> portfolios</w:t>
      </w:r>
      <w:r>
        <w:rPr>
          <w:rFonts w:ascii="Times New Roman" w:hAnsi="Times New Roman" w:cs="Times New Roman"/>
          <w:lang w:val="en-US"/>
        </w:rPr>
        <w:t xml:space="preserve"> of the entity</w:t>
      </w:r>
      <w:r w:rsidR="00CB28A9">
        <w:rPr>
          <w:rFonts w:ascii="Times New Roman" w:hAnsi="Times New Roman" w:cs="Times New Roman"/>
          <w:lang w:val="en-US"/>
        </w:rPr>
        <w:t xml:space="preserve">. </w:t>
      </w:r>
      <w:r w:rsidR="00913FC4">
        <w:rPr>
          <w:rFonts w:ascii="Times New Roman" w:hAnsi="Times New Roman" w:cs="Times New Roman"/>
          <w:lang w:val="en-US"/>
        </w:rPr>
        <w:t>For this round, you are provided with the following information</w:t>
      </w:r>
      <w:r w:rsidR="00FC7680">
        <w:rPr>
          <w:rFonts w:ascii="Times New Roman" w:hAnsi="Times New Roman" w:cs="Times New Roman"/>
          <w:lang w:val="en-US"/>
        </w:rPr>
        <w:t xml:space="preserve"> in addition to the information provided in the previous round</w:t>
      </w:r>
      <w:r w:rsidR="00913FC4">
        <w:rPr>
          <w:rFonts w:ascii="Times New Roman" w:hAnsi="Times New Roman" w:cs="Times New Roman"/>
          <w:lang w:val="en-US"/>
        </w:rPr>
        <w:t>:</w:t>
      </w:r>
    </w:p>
    <w:p w:rsidR="00913FC4" w:rsidP="00BD4F72" w:rsidRDefault="00913FC4" w14:paraId="636969BF" w14:textId="05D8F1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1F0784">
        <w:rPr>
          <w:rFonts w:ascii="Times New Roman" w:hAnsi="Times New Roman" w:cs="Times New Roman"/>
          <w:lang w:val="en-US"/>
        </w:rPr>
        <w:t xml:space="preserve">Statement of </w:t>
      </w:r>
      <w:r w:rsidR="008D3F1B">
        <w:rPr>
          <w:rFonts w:ascii="Times New Roman" w:hAnsi="Times New Roman" w:cs="Times New Roman"/>
          <w:lang w:val="en-US"/>
        </w:rPr>
        <w:t>u</w:t>
      </w:r>
      <w:r w:rsidRPr="001F0784">
        <w:rPr>
          <w:rFonts w:ascii="Times New Roman" w:hAnsi="Times New Roman" w:cs="Times New Roman"/>
          <w:lang w:val="en-US"/>
        </w:rPr>
        <w:t xml:space="preserve">nderwriting performance </w:t>
      </w:r>
      <w:r w:rsidR="00CB28A9">
        <w:rPr>
          <w:rFonts w:ascii="Times New Roman" w:hAnsi="Times New Roman" w:cs="Times New Roman"/>
          <w:lang w:val="en-US"/>
        </w:rPr>
        <w:t xml:space="preserve">for Motor </w:t>
      </w:r>
      <w:r w:rsidRPr="001F0784" w:rsidR="00CB28A9">
        <w:rPr>
          <w:rFonts w:ascii="Times New Roman" w:hAnsi="Times New Roman" w:cs="Times New Roman"/>
          <w:lang w:val="en-US"/>
        </w:rPr>
        <w:t>business</w:t>
      </w:r>
      <w:r w:rsidRPr="001F0784">
        <w:rPr>
          <w:rFonts w:ascii="Times New Roman" w:hAnsi="Times New Roman" w:cs="Times New Roman"/>
          <w:lang w:val="en-US"/>
        </w:rPr>
        <w:t xml:space="preserve"> over the past </w:t>
      </w:r>
      <w:r>
        <w:rPr>
          <w:rFonts w:ascii="Times New Roman" w:hAnsi="Times New Roman" w:cs="Times New Roman"/>
          <w:lang w:val="en-US"/>
        </w:rPr>
        <w:t>5</w:t>
      </w:r>
      <w:r w:rsidRPr="001F0784">
        <w:rPr>
          <w:rFonts w:ascii="Times New Roman" w:hAnsi="Times New Roman" w:cs="Times New Roman"/>
          <w:lang w:val="en-US"/>
        </w:rPr>
        <w:t xml:space="preserve"> years</w:t>
      </w:r>
      <w:r w:rsidR="00BD4F72">
        <w:rPr>
          <w:rFonts w:ascii="Times New Roman" w:hAnsi="Times New Roman" w:cs="Times New Roman"/>
          <w:lang w:val="en-US"/>
        </w:rPr>
        <w:t>.</w:t>
      </w:r>
    </w:p>
    <w:p w:rsidR="00913FC4" w:rsidP="00BD4F72" w:rsidRDefault="00913FC4" w14:paraId="590301A1" w14:textId="434D684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880E0A">
        <w:rPr>
          <w:rFonts w:ascii="Times New Roman" w:hAnsi="Times New Roman" w:cs="Times New Roman"/>
          <w:lang w:val="en-US"/>
        </w:rPr>
        <w:t xml:space="preserve">Listing of large claims </w:t>
      </w:r>
      <w:r w:rsidR="008D3F1B">
        <w:rPr>
          <w:rFonts w:ascii="Times New Roman" w:hAnsi="Times New Roman" w:cs="Times New Roman"/>
          <w:lang w:val="en-US"/>
        </w:rPr>
        <w:t xml:space="preserve">above $500,000 ED </w:t>
      </w:r>
      <w:r w:rsidRPr="00880E0A">
        <w:rPr>
          <w:rFonts w:ascii="Times New Roman" w:hAnsi="Times New Roman" w:cs="Times New Roman"/>
          <w:lang w:val="en-US"/>
        </w:rPr>
        <w:t xml:space="preserve">for past </w:t>
      </w:r>
      <w:r>
        <w:rPr>
          <w:rFonts w:ascii="Times New Roman" w:hAnsi="Times New Roman" w:cs="Times New Roman"/>
          <w:lang w:val="en-US"/>
        </w:rPr>
        <w:t xml:space="preserve">5 </w:t>
      </w:r>
      <w:r w:rsidR="003F68FA">
        <w:rPr>
          <w:rFonts w:ascii="Times New Roman" w:hAnsi="Times New Roman" w:cs="Times New Roman"/>
          <w:lang w:val="en-US"/>
        </w:rPr>
        <w:t>years (2019</w:t>
      </w:r>
      <w:r w:rsidRPr="00880E0A">
        <w:rPr>
          <w:rFonts w:ascii="Times New Roman" w:hAnsi="Times New Roman" w:cs="Times New Roman"/>
          <w:lang w:val="en-US"/>
        </w:rPr>
        <w:t>-2023) for Motor business</w:t>
      </w:r>
      <w:r w:rsidR="00BD4F72">
        <w:rPr>
          <w:rFonts w:ascii="Times New Roman" w:hAnsi="Times New Roman" w:cs="Times New Roman"/>
          <w:lang w:val="en-US"/>
        </w:rPr>
        <w:t>.</w:t>
      </w:r>
    </w:p>
    <w:p w:rsidRPr="00796101" w:rsidR="002C620C" w:rsidP="00CB28A9" w:rsidRDefault="00796101" w14:paraId="72D2A1C9" w14:textId="38550BD9">
      <w:pPr>
        <w:jc w:val="both"/>
        <w:rPr>
          <w:rFonts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/>
        </w:rPr>
        <w:t xml:space="preserve">Additionally, you must also consider how the expected </w:t>
      </w:r>
      <w:r w:rsidR="008D3F1B">
        <w:rPr>
          <w:rFonts w:ascii="Times New Roman" w:hAnsi="Times New Roman" w:cs="Times New Roman"/>
          <w:lang w:val="en-US"/>
        </w:rPr>
        <w:t xml:space="preserve">future </w:t>
      </w:r>
      <w:r>
        <w:rPr>
          <w:rFonts w:hint="eastAsia" w:ascii="Times New Roman" w:hAnsi="Times New Roman" w:cs="Times New Roman"/>
          <w:lang w:val="en-US"/>
        </w:rPr>
        <w:t xml:space="preserve">business growth of </w:t>
      </w:r>
      <w:r w:rsidRPr="00880E0A">
        <w:rPr>
          <w:rFonts w:ascii="Times New Roman" w:hAnsi="Times New Roman" w:cs="Times New Roman"/>
          <w:lang w:val="en-US"/>
        </w:rPr>
        <w:t>10% and 20% p.a.</w:t>
      </w:r>
      <w:r>
        <w:rPr>
          <w:rFonts w:hint="eastAsia" w:ascii="Times New Roman" w:hAnsi="Times New Roman" w:cs="Times New Roman"/>
          <w:lang w:val="en-US"/>
        </w:rPr>
        <w:t xml:space="preserve"> for these two </w:t>
      </w:r>
      <w:r>
        <w:rPr>
          <w:rFonts w:ascii="Times New Roman" w:hAnsi="Times New Roman" w:cs="Times New Roman"/>
          <w:lang w:val="en-US"/>
        </w:rPr>
        <w:t>classes</w:t>
      </w:r>
      <w:r>
        <w:rPr>
          <w:rFonts w:hint="eastAsia" w:ascii="Times New Roman" w:hAnsi="Times New Roman" w:cs="Times New Roman"/>
          <w:lang w:val="en-US"/>
        </w:rPr>
        <w:t xml:space="preserve"> may affect the adequacy of your proposed reinsurance arrangement, and how your proposal </w:t>
      </w:r>
      <w:r w:rsidR="00CB28A9">
        <w:rPr>
          <w:rFonts w:ascii="Times New Roman" w:hAnsi="Times New Roman" w:cs="Times New Roman"/>
          <w:lang w:val="en-US"/>
        </w:rPr>
        <w:t>may affect the business or underwriting strategy of the entity moving forwards.</w:t>
      </w:r>
      <w:r w:rsidR="002C620C">
        <w:rPr>
          <w:rFonts w:ascii="Times New Roman" w:hAnsi="Times New Roman" w:cs="Times New Roman"/>
          <w:b/>
          <w:bCs/>
          <w:lang w:val="en-US"/>
        </w:rPr>
        <w:br w:type="page"/>
      </w:r>
    </w:p>
    <w:p w:rsidR="009A68FB" w:rsidP="009A68FB" w:rsidRDefault="002C620C" w14:paraId="34E250B4" w14:textId="56BACA66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Judging Criteria</w:t>
      </w:r>
    </w:p>
    <w:p w:rsidR="00CD5D85" w:rsidP="00CD5D85" w:rsidRDefault="00CD5D85" w14:paraId="196CAA76" w14:textId="7777777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FC7680" w:rsidR="00FC7680" w:rsidP="009A68FB" w:rsidRDefault="00FC7680" w14:paraId="3A516DA5" w14:textId="03CE38F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submission shall be graded </w:t>
      </w:r>
      <w:r w:rsidR="00161730">
        <w:rPr>
          <w:rFonts w:ascii="Times New Roman" w:hAnsi="Times New Roman" w:cs="Times New Roman"/>
          <w:lang w:val="en-US"/>
        </w:rPr>
        <w:t>based on the following criteria each on a scale of 1 (Poor) to 5 (Excellent).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890"/>
        <w:gridCol w:w="6120"/>
        <w:gridCol w:w="990"/>
      </w:tblGrid>
      <w:tr w:rsidRPr="006276F8" w:rsidR="00FC7680" w:rsidTr="57E8B023" w14:paraId="28B4345D" w14:textId="77777777">
        <w:trPr>
          <w:trHeight w:val="476"/>
        </w:trPr>
        <w:tc>
          <w:tcPr>
            <w:tcW w:w="1890" w:type="dxa"/>
            <w:shd w:val="clear" w:color="auto" w:fill="F2F2F2" w:themeFill="background1" w:themeFillShade="F2"/>
            <w:tcMar/>
            <w:vAlign w:val="center"/>
          </w:tcPr>
          <w:p w:rsidRPr="006276F8" w:rsidR="00826426" w:rsidP="00826426" w:rsidRDefault="00826426" w14:paraId="7F380319" w14:textId="162A593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6120" w:type="dxa"/>
            <w:shd w:val="clear" w:color="auto" w:fill="F2F2F2" w:themeFill="background1" w:themeFillShade="F2"/>
            <w:tcMar/>
            <w:vAlign w:val="center"/>
          </w:tcPr>
          <w:p w:rsidRPr="006276F8" w:rsidR="00826426" w:rsidP="00FF4851" w:rsidRDefault="00826426" w14:paraId="22DBC74D" w14:textId="3A693B2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990" w:type="dxa"/>
            <w:shd w:val="clear" w:color="auto" w:fill="F2F2F2" w:themeFill="background1" w:themeFillShade="F2"/>
            <w:tcMar/>
            <w:vAlign w:val="center"/>
          </w:tcPr>
          <w:p w:rsidRPr="006276F8" w:rsidR="00826426" w:rsidP="00826426" w:rsidRDefault="00FC7680" w14:paraId="48697C06" w14:textId="69E1D11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Weight</w:t>
            </w:r>
          </w:p>
        </w:tc>
      </w:tr>
      <w:tr w:rsidR="00D71BF5" w:rsidTr="57E8B023" w14:paraId="187BED1D" w14:textId="54466171">
        <w:trPr>
          <w:trHeight w:val="1025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47A0F2F3" w14:textId="0F5743E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Basic Reinsurance Knowledge</w:t>
            </w:r>
          </w:p>
        </w:tc>
        <w:tc>
          <w:tcPr>
            <w:tcW w:w="6120" w:type="dxa"/>
            <w:tcMar/>
            <w:vAlign w:val="center"/>
          </w:tcPr>
          <w:p w:rsidRPr="00D71BF5" w:rsidR="00826426" w:rsidP="00D71BF5" w:rsidRDefault="00826426" w14:paraId="0495256E" w14:textId="1D8798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Understanding of basic reinsurance concepts 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including</w:t>
            </w: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the purpose and quantitative workings of different reinsurance arrangements.</w:t>
            </w:r>
          </w:p>
        </w:tc>
        <w:tc>
          <w:tcPr>
            <w:tcW w:w="990" w:type="dxa"/>
            <w:tcMar/>
            <w:vAlign w:val="center"/>
          </w:tcPr>
          <w:p w:rsidRPr="00D71BF5" w:rsidR="00826426" w:rsidP="57E8B023" w:rsidRDefault="00826426" w14:paraId="68C99592" w14:textId="2955A6FA" w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57E8B023" w:rsidR="00826426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US"/>
              </w:rPr>
              <w:t>1</w:t>
            </w:r>
            <w:r w:rsidRPr="57E8B023" w:rsidR="00D71BF5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US"/>
              </w:rPr>
              <w:t>0</w:t>
            </w:r>
            <w:r w:rsidRPr="57E8B023" w:rsidR="00826426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US"/>
              </w:rPr>
              <w:t>%</w:t>
            </w:r>
          </w:p>
        </w:tc>
      </w:tr>
      <w:tr w:rsidR="00D71BF5" w:rsidTr="57E8B023" w14:paraId="6C0BD742" w14:textId="64839FFA">
        <w:trPr>
          <w:trHeight w:val="1610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65443AAA" w14:textId="21D47A1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Portfolio Review</w:t>
            </w:r>
          </w:p>
        </w:tc>
        <w:tc>
          <w:tcPr>
            <w:tcW w:w="6120" w:type="dxa"/>
            <w:tcMar/>
            <w:vAlign w:val="center"/>
          </w:tcPr>
          <w:p w:rsidR="005046D6" w:rsidP="00D71BF5" w:rsidRDefault="005046D6" w14:paraId="1AD4920B" w14:textId="7777777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046D6" w:rsidP="00D71BF5" w:rsidRDefault="00826426" w14:paraId="669AA963" w14:textId="5CEECB4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Exploratory data analysis using MS Excel and R for better understanding of each portfolio’s past underwriting performance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 w:rsid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how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reinsurance </w:t>
            </w:r>
            <w:r w:rsid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may be applied given the </w:t>
            </w:r>
            <w:r w:rsidR="001617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specific </w:t>
            </w:r>
            <w:r w:rsid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characteristics of the portfolio</w:t>
            </w:r>
            <w:r w:rsidR="001617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taking into consideration of the company’s overall financial circumstances</w:t>
            </w: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:rsidRPr="00D71BF5" w:rsidR="005046D6" w:rsidP="00D71BF5" w:rsidRDefault="005046D6" w14:paraId="058B7064" w14:textId="12BCEC9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Mar/>
            <w:vAlign w:val="center"/>
          </w:tcPr>
          <w:p w:rsidRPr="00D71BF5" w:rsidR="00826426" w:rsidP="00D71BF5" w:rsidRDefault="00A53293" w14:paraId="51635DA1" w14:textId="5A7BA28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15</w:t>
            </w:r>
            <w:r w:rsidRPr="00D71BF5" w:rsidR="0082642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%</w:t>
            </w:r>
          </w:p>
        </w:tc>
      </w:tr>
      <w:tr w:rsidR="00D71BF5" w:rsidTr="57E8B023" w14:paraId="69255A6D" w14:textId="2E0AC06E">
        <w:trPr>
          <w:trHeight w:val="1079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1D4DDCCA" w14:textId="7C762EA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Reinsurance Modelling</w:t>
            </w:r>
          </w:p>
        </w:tc>
        <w:tc>
          <w:tcPr>
            <w:tcW w:w="6120" w:type="dxa"/>
            <w:tcMar/>
            <w:vAlign w:val="center"/>
          </w:tcPr>
          <w:p w:rsidRPr="00D71BF5" w:rsidR="005046D6" w:rsidP="00D71BF5" w:rsidRDefault="00D71BF5" w14:paraId="4F1BF4BE" w14:textId="5FAA73D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Appropriateness and robustness of </w:t>
            </w:r>
            <w:r w:rsid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reinsurance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odel </w:t>
            </w:r>
            <w:r w:rsidR="005E0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developed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MS Excel or R</w:t>
            </w:r>
            <w:r w:rsidR="00A858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which may range from a deterministic scenario testing approach to the more sophisticated stochastic techniques.</w:t>
            </w:r>
          </w:p>
        </w:tc>
        <w:tc>
          <w:tcPr>
            <w:tcW w:w="990" w:type="dxa"/>
            <w:tcMar/>
            <w:vAlign w:val="center"/>
          </w:tcPr>
          <w:p w:rsidRPr="00D71BF5" w:rsidR="00826426" w:rsidP="00D71BF5" w:rsidRDefault="00FC7680" w14:paraId="7E89022C" w14:textId="6E7327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25</w:t>
            </w:r>
            <w:r w:rsidRPr="00D71BF5" w:rsidR="00D71BF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%</w:t>
            </w:r>
          </w:p>
        </w:tc>
      </w:tr>
      <w:tr w:rsidR="00FC7680" w:rsidTr="57E8B023" w14:paraId="6350B64F" w14:textId="77777777">
        <w:trPr>
          <w:trHeight w:val="890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2CF1C3B4" w14:textId="3032E38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Business </w:t>
            </w:r>
            <w:r w:rsidRPr="00FC7680"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Proposal</w:t>
            </w:r>
          </w:p>
        </w:tc>
        <w:tc>
          <w:tcPr>
            <w:tcW w:w="6120" w:type="dxa"/>
            <w:tcMar/>
            <w:vAlign w:val="center"/>
          </w:tcPr>
          <w:p w:rsidRPr="00D71BF5" w:rsidR="00826426" w:rsidP="00D71BF5" w:rsidRDefault="00D71BF5" w14:paraId="51ED92DA" w14:textId="521FBDC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Quality </w:t>
            </w:r>
            <w:r w:rsidR="001617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and practicability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 business proposal based on the results of portfolio review and reinsurance model</w:t>
            </w:r>
            <w:r w:rsidR="001617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above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990" w:type="dxa"/>
            <w:tcMar/>
            <w:vAlign w:val="center"/>
          </w:tcPr>
          <w:p w:rsidRPr="00D71BF5" w:rsidR="00826426" w:rsidP="00D71BF5" w:rsidRDefault="00FC7680" w14:paraId="22279375" w14:textId="6636555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</w:t>
            </w:r>
            <w:r w:rsidR="0016173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0</w:t>
            </w:r>
            <w:r w:rsidRPr="00D71BF5" w:rsidR="00D71BF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%</w:t>
            </w:r>
          </w:p>
        </w:tc>
      </w:tr>
      <w:tr w:rsidR="00D71BF5" w:rsidTr="57E8B023" w14:paraId="364692AE" w14:textId="21B9D827">
        <w:trPr>
          <w:trHeight w:val="791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590AFEF5" w14:textId="169D1D4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Programming</w:t>
            </w:r>
          </w:p>
        </w:tc>
        <w:tc>
          <w:tcPr>
            <w:tcW w:w="6120" w:type="dxa"/>
            <w:tcMar/>
            <w:vAlign w:val="center"/>
          </w:tcPr>
          <w:p w:rsidRPr="00D71BF5" w:rsidR="00826426" w:rsidP="00D71BF5" w:rsidRDefault="00FC7680" w14:paraId="15E3E468" w14:textId="501B66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Overall q</w:t>
            </w:r>
            <w:r w:rsidRPr="00D71BF5"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uality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accuracy,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and </w:t>
            </w:r>
            <w:r w:rsidR="001617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readability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of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coding in 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 or MS Excel. </w:t>
            </w:r>
          </w:p>
        </w:tc>
        <w:tc>
          <w:tcPr>
            <w:tcW w:w="990" w:type="dxa"/>
            <w:tcMar/>
            <w:vAlign w:val="center"/>
          </w:tcPr>
          <w:p w:rsidRPr="00D71BF5" w:rsidR="00826426" w:rsidP="00D71BF5" w:rsidRDefault="00A53293" w14:paraId="62BE36BB" w14:textId="06CA4C0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20</w:t>
            </w:r>
            <w:r w:rsidRPr="00D71BF5" w:rsidR="00D71BF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%</w:t>
            </w:r>
          </w:p>
        </w:tc>
      </w:tr>
      <w:tr w:rsidR="00D71BF5" w:rsidTr="57E8B023" w14:paraId="0EF3DD69" w14:textId="77777777">
        <w:trPr>
          <w:trHeight w:val="710"/>
        </w:trPr>
        <w:tc>
          <w:tcPr>
            <w:tcW w:w="1890" w:type="dxa"/>
            <w:tcMar/>
            <w:vAlign w:val="center"/>
          </w:tcPr>
          <w:p w:rsidRPr="00FC7680" w:rsidR="00826426" w:rsidP="00D71BF5" w:rsidRDefault="00826426" w14:paraId="28531DF0" w14:textId="08FCC83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Communication</w:t>
            </w:r>
          </w:p>
        </w:tc>
        <w:tc>
          <w:tcPr>
            <w:tcW w:w="6120" w:type="dxa"/>
            <w:tcMar/>
            <w:vAlign w:val="center"/>
          </w:tcPr>
          <w:p w:rsidRPr="00D71BF5" w:rsidR="00826426" w:rsidP="00D71BF5" w:rsidRDefault="00826426" w14:paraId="17B0510A" w14:textId="26C15B6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Quality 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 deliverables and</w:t>
            </w:r>
            <w:r w:rsidR="00FC76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/or</w:t>
            </w:r>
            <w:r w:rsidR="00D71B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speaker’s presentation.</w:t>
            </w:r>
          </w:p>
        </w:tc>
        <w:tc>
          <w:tcPr>
            <w:tcW w:w="990" w:type="dxa"/>
            <w:tcMar/>
            <w:vAlign w:val="center"/>
          </w:tcPr>
          <w:p w:rsidRPr="00D71BF5" w:rsidR="00826426" w:rsidP="00D71BF5" w:rsidRDefault="00D71BF5" w14:paraId="62219FBB" w14:textId="60A1178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71BF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10%</w:t>
            </w:r>
          </w:p>
        </w:tc>
      </w:tr>
    </w:tbl>
    <w:p w:rsidRPr="009A68FB" w:rsidR="00826426" w:rsidP="00826426" w:rsidRDefault="00826426" w14:paraId="3C81AB22" w14:textId="7777777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bookmarkEnd w:id="0"/>
    <w:p w:rsidRPr="009A68FB" w:rsidR="002C620C" w:rsidP="009A68FB" w:rsidRDefault="002C620C" w14:paraId="43E053B2" w14:textId="7777777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Pr="009A68FB" w:rsidR="002C62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75B"/>
    <w:multiLevelType w:val="hybridMultilevel"/>
    <w:tmpl w:val="D40A09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51D8"/>
    <w:multiLevelType w:val="hybridMultilevel"/>
    <w:tmpl w:val="65A62A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5A1E"/>
    <w:multiLevelType w:val="hybridMultilevel"/>
    <w:tmpl w:val="ED52FB7A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391E0D"/>
    <w:multiLevelType w:val="hybridMultilevel"/>
    <w:tmpl w:val="06CE7E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6EDD"/>
    <w:multiLevelType w:val="hybridMultilevel"/>
    <w:tmpl w:val="5986D852"/>
    <w:lvl w:ilvl="0" w:tplc="AD0C333E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024F49"/>
    <w:multiLevelType w:val="hybridMultilevel"/>
    <w:tmpl w:val="CCAA2D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2A9"/>
    <w:multiLevelType w:val="hybridMultilevel"/>
    <w:tmpl w:val="39D2A8C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8C6"/>
    <w:multiLevelType w:val="hybridMultilevel"/>
    <w:tmpl w:val="52842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1299"/>
    <w:multiLevelType w:val="hybridMultilevel"/>
    <w:tmpl w:val="91FC003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B0DBC"/>
    <w:multiLevelType w:val="hybridMultilevel"/>
    <w:tmpl w:val="22DC9AC2"/>
    <w:lvl w:ilvl="0" w:tplc="44090017">
      <w:start w:val="1"/>
      <w:numFmt w:val="lowerLetter"/>
      <w:lvlText w:val="%1)"/>
      <w:lvlJc w:val="left"/>
      <w:pPr>
        <w:ind w:left="772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92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212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932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52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72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92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812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532" w:hanging="360"/>
      </w:pPr>
      <w:rPr>
        <w:rFonts w:hint="default" w:ascii="Wingdings" w:hAnsi="Wingdings"/>
      </w:rPr>
    </w:lvl>
  </w:abstractNum>
  <w:abstractNum w:abstractNumId="10" w15:restartNumberingAfterBreak="0">
    <w:nsid w:val="4D614C49"/>
    <w:multiLevelType w:val="hybridMultilevel"/>
    <w:tmpl w:val="7E6A0E0A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0E479B9"/>
    <w:multiLevelType w:val="hybridMultilevel"/>
    <w:tmpl w:val="290635F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93BE7"/>
    <w:multiLevelType w:val="hybridMultilevel"/>
    <w:tmpl w:val="772689C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4747B"/>
    <w:multiLevelType w:val="hybridMultilevel"/>
    <w:tmpl w:val="C116EA66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BF10127"/>
    <w:multiLevelType w:val="hybridMultilevel"/>
    <w:tmpl w:val="A1360E5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562B71"/>
    <w:multiLevelType w:val="hybridMultilevel"/>
    <w:tmpl w:val="8412297A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9112B3"/>
    <w:multiLevelType w:val="hybridMultilevel"/>
    <w:tmpl w:val="E44A75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F2A2D"/>
    <w:multiLevelType w:val="hybridMultilevel"/>
    <w:tmpl w:val="E64EEB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70D70"/>
    <w:multiLevelType w:val="hybridMultilevel"/>
    <w:tmpl w:val="9E7444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72249">
    <w:abstractNumId w:val="16"/>
  </w:num>
  <w:num w:numId="2" w16cid:durableId="546845008">
    <w:abstractNumId w:val="11"/>
  </w:num>
  <w:num w:numId="3" w16cid:durableId="413088336">
    <w:abstractNumId w:val="7"/>
  </w:num>
  <w:num w:numId="4" w16cid:durableId="617568905">
    <w:abstractNumId w:val="1"/>
  </w:num>
  <w:num w:numId="5" w16cid:durableId="208342922">
    <w:abstractNumId w:val="17"/>
  </w:num>
  <w:num w:numId="6" w16cid:durableId="1366516121">
    <w:abstractNumId w:val="5"/>
  </w:num>
  <w:num w:numId="7" w16cid:durableId="806362792">
    <w:abstractNumId w:val="4"/>
  </w:num>
  <w:num w:numId="8" w16cid:durableId="2090687956">
    <w:abstractNumId w:val="3"/>
  </w:num>
  <w:num w:numId="9" w16cid:durableId="7570240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2333151">
    <w:abstractNumId w:val="14"/>
  </w:num>
  <w:num w:numId="11" w16cid:durableId="1927226993">
    <w:abstractNumId w:val="8"/>
  </w:num>
  <w:num w:numId="12" w16cid:durableId="1246068283">
    <w:abstractNumId w:val="13"/>
  </w:num>
  <w:num w:numId="13" w16cid:durableId="1671299167">
    <w:abstractNumId w:val="10"/>
  </w:num>
  <w:num w:numId="14" w16cid:durableId="1340351276">
    <w:abstractNumId w:val="18"/>
  </w:num>
  <w:num w:numId="15" w16cid:durableId="421878262">
    <w:abstractNumId w:val="12"/>
  </w:num>
  <w:num w:numId="16" w16cid:durableId="184559061">
    <w:abstractNumId w:val="15"/>
  </w:num>
  <w:num w:numId="17" w16cid:durableId="2052530899">
    <w:abstractNumId w:val="2"/>
  </w:num>
  <w:num w:numId="18" w16cid:durableId="773474106">
    <w:abstractNumId w:val="9"/>
  </w:num>
  <w:num w:numId="19" w16cid:durableId="1503741625">
    <w:abstractNumId w:val="0"/>
  </w:num>
  <w:num w:numId="20" w16cid:durableId="1931431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67"/>
    <w:rsid w:val="000066BC"/>
    <w:rsid w:val="000274AB"/>
    <w:rsid w:val="000408F7"/>
    <w:rsid w:val="00070607"/>
    <w:rsid w:val="00093D72"/>
    <w:rsid w:val="000A75B8"/>
    <w:rsid w:val="000B6227"/>
    <w:rsid w:val="000C2F34"/>
    <w:rsid w:val="000C5B30"/>
    <w:rsid w:val="00107568"/>
    <w:rsid w:val="00143885"/>
    <w:rsid w:val="00146ED2"/>
    <w:rsid w:val="00161730"/>
    <w:rsid w:val="00163AD4"/>
    <w:rsid w:val="001642FF"/>
    <w:rsid w:val="001A64CA"/>
    <w:rsid w:val="001B79E5"/>
    <w:rsid w:val="001C0CBA"/>
    <w:rsid w:val="001D2AA9"/>
    <w:rsid w:val="001D53AC"/>
    <w:rsid w:val="001E0750"/>
    <w:rsid w:val="001F0784"/>
    <w:rsid w:val="002075B3"/>
    <w:rsid w:val="00234300"/>
    <w:rsid w:val="00262DCA"/>
    <w:rsid w:val="0027651D"/>
    <w:rsid w:val="00287328"/>
    <w:rsid w:val="0029419F"/>
    <w:rsid w:val="002B6289"/>
    <w:rsid w:val="002C620C"/>
    <w:rsid w:val="002E0507"/>
    <w:rsid w:val="002F0757"/>
    <w:rsid w:val="00303CA2"/>
    <w:rsid w:val="0031031F"/>
    <w:rsid w:val="00314365"/>
    <w:rsid w:val="00331CF7"/>
    <w:rsid w:val="00334CA7"/>
    <w:rsid w:val="003365BB"/>
    <w:rsid w:val="00383215"/>
    <w:rsid w:val="00392ECC"/>
    <w:rsid w:val="00397078"/>
    <w:rsid w:val="003B3186"/>
    <w:rsid w:val="003E0390"/>
    <w:rsid w:val="003E3E08"/>
    <w:rsid w:val="003F2312"/>
    <w:rsid w:val="003F68FA"/>
    <w:rsid w:val="00427C66"/>
    <w:rsid w:val="004358F1"/>
    <w:rsid w:val="00453061"/>
    <w:rsid w:val="0046055F"/>
    <w:rsid w:val="00466829"/>
    <w:rsid w:val="00466C58"/>
    <w:rsid w:val="0046714C"/>
    <w:rsid w:val="0048518D"/>
    <w:rsid w:val="00486C39"/>
    <w:rsid w:val="004B68B2"/>
    <w:rsid w:val="004B6940"/>
    <w:rsid w:val="004E3584"/>
    <w:rsid w:val="004F2505"/>
    <w:rsid w:val="00503562"/>
    <w:rsid w:val="005046D6"/>
    <w:rsid w:val="005104BB"/>
    <w:rsid w:val="00565722"/>
    <w:rsid w:val="00572B7C"/>
    <w:rsid w:val="00590045"/>
    <w:rsid w:val="005952FB"/>
    <w:rsid w:val="00597BA0"/>
    <w:rsid w:val="005A2D75"/>
    <w:rsid w:val="005B0B41"/>
    <w:rsid w:val="005B6D39"/>
    <w:rsid w:val="005D1ED5"/>
    <w:rsid w:val="005E0B90"/>
    <w:rsid w:val="00600B3C"/>
    <w:rsid w:val="006276F8"/>
    <w:rsid w:val="00631E18"/>
    <w:rsid w:val="0063604F"/>
    <w:rsid w:val="00654616"/>
    <w:rsid w:val="00670D3C"/>
    <w:rsid w:val="00681B83"/>
    <w:rsid w:val="0069178A"/>
    <w:rsid w:val="006A050F"/>
    <w:rsid w:val="006C27C0"/>
    <w:rsid w:val="006C47E5"/>
    <w:rsid w:val="006E5A8D"/>
    <w:rsid w:val="0071248A"/>
    <w:rsid w:val="00796101"/>
    <w:rsid w:val="007A346D"/>
    <w:rsid w:val="007B0D3B"/>
    <w:rsid w:val="007C6FD8"/>
    <w:rsid w:val="007E5C7E"/>
    <w:rsid w:val="007F441F"/>
    <w:rsid w:val="007F61A6"/>
    <w:rsid w:val="008027D2"/>
    <w:rsid w:val="00821DCE"/>
    <w:rsid w:val="00826426"/>
    <w:rsid w:val="008423A6"/>
    <w:rsid w:val="00850FDF"/>
    <w:rsid w:val="00874EDF"/>
    <w:rsid w:val="00880E0A"/>
    <w:rsid w:val="008D3F1B"/>
    <w:rsid w:val="008D79AB"/>
    <w:rsid w:val="00905496"/>
    <w:rsid w:val="00913FC4"/>
    <w:rsid w:val="00932AB5"/>
    <w:rsid w:val="00956261"/>
    <w:rsid w:val="00974507"/>
    <w:rsid w:val="0097754E"/>
    <w:rsid w:val="009A68FB"/>
    <w:rsid w:val="009B7758"/>
    <w:rsid w:val="009C09D1"/>
    <w:rsid w:val="009F48A9"/>
    <w:rsid w:val="00A1014E"/>
    <w:rsid w:val="00A133DB"/>
    <w:rsid w:val="00A2270E"/>
    <w:rsid w:val="00A3426E"/>
    <w:rsid w:val="00A52256"/>
    <w:rsid w:val="00A53293"/>
    <w:rsid w:val="00A72D21"/>
    <w:rsid w:val="00A8587B"/>
    <w:rsid w:val="00AF4770"/>
    <w:rsid w:val="00B132C8"/>
    <w:rsid w:val="00B63A5D"/>
    <w:rsid w:val="00B758BA"/>
    <w:rsid w:val="00B86655"/>
    <w:rsid w:val="00BC1BAC"/>
    <w:rsid w:val="00BC7A10"/>
    <w:rsid w:val="00BD4F72"/>
    <w:rsid w:val="00C27EDC"/>
    <w:rsid w:val="00C35FB8"/>
    <w:rsid w:val="00C52E9B"/>
    <w:rsid w:val="00CA4FFD"/>
    <w:rsid w:val="00CB188B"/>
    <w:rsid w:val="00CB28A9"/>
    <w:rsid w:val="00CB58BC"/>
    <w:rsid w:val="00CD5D85"/>
    <w:rsid w:val="00CF43FF"/>
    <w:rsid w:val="00CF4652"/>
    <w:rsid w:val="00CF59F9"/>
    <w:rsid w:val="00D11836"/>
    <w:rsid w:val="00D17DD6"/>
    <w:rsid w:val="00D53533"/>
    <w:rsid w:val="00D71BF5"/>
    <w:rsid w:val="00DB4D06"/>
    <w:rsid w:val="00DD2319"/>
    <w:rsid w:val="00DE27E9"/>
    <w:rsid w:val="00DE5CE6"/>
    <w:rsid w:val="00DF4C78"/>
    <w:rsid w:val="00E02F57"/>
    <w:rsid w:val="00E26797"/>
    <w:rsid w:val="00E37F6D"/>
    <w:rsid w:val="00E73F06"/>
    <w:rsid w:val="00EA2474"/>
    <w:rsid w:val="00EC5D83"/>
    <w:rsid w:val="00F5285C"/>
    <w:rsid w:val="00F72E5B"/>
    <w:rsid w:val="00F9275E"/>
    <w:rsid w:val="00F97141"/>
    <w:rsid w:val="00FA2B15"/>
    <w:rsid w:val="00FB057C"/>
    <w:rsid w:val="00FB49E8"/>
    <w:rsid w:val="00FB52C6"/>
    <w:rsid w:val="00FC7680"/>
    <w:rsid w:val="00FD1167"/>
    <w:rsid w:val="00FE09D7"/>
    <w:rsid w:val="00FE3716"/>
    <w:rsid w:val="00FF2209"/>
    <w:rsid w:val="00FF4851"/>
    <w:rsid w:val="57E8B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DFBC"/>
  <w15:docId w15:val="{4E70054B-95D9-4B7C-B482-D4CACA96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D11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D11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11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D116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116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D116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116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D116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6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11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D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6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D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D1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6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49E8"/>
    <w:rPr>
      <w:color w:val="666666"/>
    </w:rPr>
  </w:style>
  <w:style w:type="table" w:styleId="TableGrid">
    <w:name w:val="Table Grid"/>
    <w:basedOn w:val="TableNormal"/>
    <w:uiPriority w:val="39"/>
    <w:rsid w:val="00BD4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fb8f45-9175-4bed-93fa-a3ea5da9bbee">
      <Terms xmlns="http://schemas.microsoft.com/office/infopath/2007/PartnerControls"/>
    </lcf76f155ced4ddcb4097134ff3c332f>
    <TaxCatchAll xmlns="8d898d93-b8a4-494e-9eea-e8a1a59eed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8C41C159BED4693A639F682A676DA" ma:contentTypeVersion="12" ma:contentTypeDescription="Create a new document." ma:contentTypeScope="" ma:versionID="7f9cc08da7eb9f9b44595904ff504599">
  <xsd:schema xmlns:xsd="http://www.w3.org/2001/XMLSchema" xmlns:xs="http://www.w3.org/2001/XMLSchema" xmlns:p="http://schemas.microsoft.com/office/2006/metadata/properties" xmlns:ns2="71fb8f45-9175-4bed-93fa-a3ea5da9bbee" xmlns:ns3="8d898d93-b8a4-494e-9eea-e8a1a59eed09" targetNamespace="http://schemas.microsoft.com/office/2006/metadata/properties" ma:root="true" ma:fieldsID="c33302ea63f1b3562a97f064e9b3d997" ns2:_="" ns3:_="">
    <xsd:import namespace="71fb8f45-9175-4bed-93fa-a3ea5da9bbee"/>
    <xsd:import namespace="8d898d93-b8a4-494e-9eea-e8a1a59eed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8f45-9175-4bed-93fa-a3ea5da9b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98d93-b8a4-494e-9eea-e8a1a59eed0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868d4f1-3bc0-4761-9cd0-f0888b0d6e2f}" ma:internalName="TaxCatchAll" ma:showField="CatchAllData" ma:web="8d898d93-b8a4-494e-9eea-e8a1a59eed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80D43-D15E-4FAB-85F8-3DA437A5C886}">
  <ds:schemaRefs>
    <ds:schemaRef ds:uri="http://schemas.microsoft.com/office/2006/metadata/properties"/>
    <ds:schemaRef ds:uri="http://www.w3.org/2000/xmlns/"/>
    <ds:schemaRef ds:uri="71fb8f45-9175-4bed-93fa-a3ea5da9bbee"/>
    <ds:schemaRef ds:uri="http://schemas.microsoft.com/office/infopath/2007/PartnerControls"/>
    <ds:schemaRef ds:uri="8d898d93-b8a4-494e-9eea-e8a1a59eed09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406D6CA-17E2-4E76-9199-28EABDD18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662E9-5A15-4B2C-B4D6-26F46C2EE53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fb8f45-9175-4bed-93fa-a3ea5da9bbee"/>
    <ds:schemaRef ds:uri="8d898d93-b8a4-494e-9eea-e8a1a59eed0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The Great Eastern Life Assurance Company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Chew Han Wah</dc:creator>
  <keywords/>
  <dc:description/>
  <lastModifiedBy>YAP HOW KEAT</lastModifiedBy>
  <revision>9</revision>
  <dcterms:created xsi:type="dcterms:W3CDTF">2024-04-17T16:41:00.0000000Z</dcterms:created>
  <dcterms:modified xsi:type="dcterms:W3CDTF">2024-05-30T17:20:04.7535139Z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0x01010058C8C41C159BED4693A639F682A676DA</vt:lpwstr>
  </property>
  <property fmtid="{D5CDD505-2E9C-101B-9397-08002B2CF9AE}" pid="3" name="MediaServiceImageTags">
    <vt:lpwstr/>
  </property>
</Properties>
</file>