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Veteran Connect</w:t>
      </w:r>
    </w:p>
    <w:p>
      <w:pPr>
        <w:jc w:val="center"/>
      </w:pPr>
      <w:r>
        <w:rPr>
          <w:i/>
          <w:sz w:val="22"/>
        </w:rPr>
        <w:t>Phase 1 Product Scope and Compliance Foundation</w:t>
      </w:r>
    </w:p>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top"/>
          </w:tcPr>
          <w:p>
            <w:r>
              <w:rPr>
                <w:b/>
                <w:sz w:val="18"/>
              </w:rPr>
              <w:t>Document status</w:t>
            </w:r>
          </w:p>
        </w:tc>
        <w:tc>
          <w:tcPr>
            <w:tcW w:type="dxa" w:w="5184"/>
            <w:vAlign w:val="top"/>
          </w:tcPr>
          <w:p>
            <w:r>
              <w:rPr>
                <w:sz w:val="18"/>
              </w:rPr>
              <w:t>Working source-of-truth for Phase 1</w:t>
            </w:r>
          </w:p>
        </w:tc>
      </w:tr>
      <w:tr>
        <w:tc>
          <w:tcPr>
            <w:tcW w:type="dxa" w:w="5184"/>
            <w:shd w:fill="D9EAF7"/>
            <w:vAlign w:val="top"/>
          </w:tcPr>
          <w:p>
            <w:r>
              <w:rPr>
                <w:b/>
                <w:sz w:val="18"/>
              </w:rPr>
              <w:t>Version</w:t>
            </w:r>
          </w:p>
        </w:tc>
        <w:tc>
          <w:tcPr>
            <w:tcW w:type="dxa" w:w="5184"/>
            <w:vAlign w:val="top"/>
          </w:tcPr>
          <w:p>
            <w:r>
              <w:rPr>
                <w:sz w:val="18"/>
              </w:rPr>
              <w:t>0.1</w:t>
            </w:r>
          </w:p>
        </w:tc>
      </w:tr>
      <w:tr>
        <w:tc>
          <w:tcPr>
            <w:tcW w:type="dxa" w:w="5184"/>
            <w:shd w:fill="D9EAF7"/>
            <w:vAlign w:val="top"/>
          </w:tcPr>
          <w:p>
            <w:r>
              <w:rPr>
                <w:b/>
                <w:sz w:val="18"/>
              </w:rPr>
              <w:t>Prepared for</w:t>
            </w:r>
          </w:p>
        </w:tc>
        <w:tc>
          <w:tcPr>
            <w:tcW w:type="dxa" w:w="5184"/>
            <w:vAlign w:val="top"/>
          </w:tcPr>
          <w:p>
            <w:r>
              <w:rPr>
                <w:sz w:val="18"/>
              </w:rPr>
              <w:t>Veteran Connect post-1 July 2026 MVP build</w:t>
            </w:r>
          </w:p>
        </w:tc>
      </w:tr>
      <w:tr>
        <w:tc>
          <w:tcPr>
            <w:tcW w:type="dxa" w:w="5184"/>
            <w:shd w:fill="D9EAF7"/>
            <w:vAlign w:val="top"/>
          </w:tcPr>
          <w:p>
            <w:r>
              <w:rPr>
                <w:b/>
                <w:sz w:val="18"/>
              </w:rPr>
              <w:t>Framework</w:t>
            </w:r>
          </w:p>
        </w:tc>
        <w:tc>
          <w:tcPr>
            <w:tcW w:type="dxa" w:w="5184"/>
            <w:vAlign w:val="top"/>
          </w:tcPr>
          <w:p>
            <w:r>
              <w:rPr>
                <w:sz w:val="18"/>
              </w:rPr>
              <w:t>Improved MRCA / VETS Act-first PI claim preparation</w:t>
            </w:r>
          </w:p>
        </w:tc>
      </w:tr>
      <w:tr>
        <w:tc>
          <w:tcPr>
            <w:tcW w:type="dxa" w:w="5184"/>
            <w:shd w:fill="D9EAF7"/>
            <w:vAlign w:val="top"/>
          </w:tcPr>
          <w:p>
            <w:r>
              <w:rPr>
                <w:b/>
                <w:sz w:val="18"/>
              </w:rPr>
              <w:t>Last reviewed</w:t>
            </w:r>
          </w:p>
        </w:tc>
        <w:tc>
          <w:tcPr>
            <w:tcW w:type="dxa" w:w="5184"/>
            <w:vAlign w:val="top"/>
          </w:tcPr>
          <w:p>
            <w:r>
              <w:rPr>
                <w:sz w:val="18"/>
              </w:rPr>
              <w:t>11 May 2026</w:t>
            </w:r>
          </w:p>
        </w:tc>
      </w:tr>
    </w:tbl>
    <w:p/>
    <w:p>
      <w:pPr>
        <w:pStyle w:val="Heading1"/>
      </w:pPr>
      <w:r>
        <w:t>1. Product decision</w:t>
      </w:r>
    </w:p>
    <w:tbl>
      <w:tblPr>
        <w:tblStyle w:val="TableGrid"/>
        <w:tblW w:type="auto" w:w="0"/>
        <w:jc w:val="center"/>
        <w:tblLayout w:type="autofit"/>
        <w:tblLook w:firstColumn="1" w:firstRow="1" w:lastColumn="0" w:lastRow="0" w:noHBand="0" w:noVBand="1" w:val="04A0"/>
      </w:tblPr>
      <w:tblGrid>
        <w:gridCol w:w="10368"/>
      </w:tblGrid>
      <w:tr>
        <w:tc>
          <w:tcPr>
            <w:tcW w:type="dxa" w:w="10368"/>
            <w:shd w:fill="FFF2CC"/>
            <w:vAlign w:val="top"/>
          </w:tcPr>
          <w:p>
            <w:r>
              <w:rPr>
                <w:sz w:val="18"/>
              </w:rPr>
            </w:r>
            <w:r>
              <w:rPr>
                <w:b/>
                <w:color w:val="9C6500"/>
                <w:sz w:val="18"/>
              </w:rPr>
              <w:t>Locked Phase 1 decision</w:t>
              <w:br/>
            </w:r>
            <w:r>
              <w:rPr>
                <w:sz w:val="18"/>
              </w:rPr>
              <w:t>Veteran Connect version 1 will be built as a post-1 July 2026 improved MRCA / VETS Act-first PI Claim Starter Pack platform. It will support evidence preparation, condition intake, accepted-condition history capture, evidence gap tracking, AI-assisted draft documents, doctor preparation questions, and DOCX/PDF claim starter pack generation.</w:t>
            </w:r>
          </w:p>
        </w:tc>
      </w:tr>
    </w:tbl>
    <w:p/>
    <w:p>
      <w:r>
        <w:t>The app is designed as a GARP M-aware evidence and document preparation assistant. It must not present itself as a GARP M score calculator, compensation estimator, legal adviser, medical adviser, DVA decision-maker, or claim success predictor.</w:t>
      </w:r>
    </w:p>
    <w:p>
      <w:pPr>
        <w:pStyle w:val="Heading1"/>
      </w:pPr>
      <w:r>
        <w:t>2. Product definition</w:t>
      </w:r>
    </w:p>
    <w:p>
      <w:r>
        <w:t>Veteran Connect is a post-1 July 2026 improved MRCA / VETS Act-first evidence and document preparation platform for Australian veterans preparing permanent impairment claim material.</w:t>
      </w:r>
    </w:p>
    <w:p>
      <w:pPr>
        <w:pStyle w:val="ListBullet"/>
      </w:pPr>
      <w:r>
        <w:t>Organises condition information, accepted-condition history, worsening details, evidence, functional impact notes and medical appointment questions.</w:t>
      </w:r>
    </w:p>
    <w:p>
      <w:pPr>
        <w:pStyle w:val="ListBullet"/>
      </w:pPr>
      <w:r>
        <w:t>Generates draft claim-support documents for review by the veteran, doctor, advocate or support person.</w:t>
      </w:r>
    </w:p>
    <w:p>
      <w:pPr>
        <w:pStyle w:val="ListBullet"/>
      </w:pPr>
      <w:r>
        <w:t>Uses GARP M concepts to guide evidence collection, without calculating impairment points or compensation.</w:t>
      </w:r>
    </w:p>
    <w:p>
      <w:pPr>
        <w:pStyle w:val="ListBullet"/>
      </w:pPr>
      <w:r>
        <w:t>Keeps medical, legal and DVA decision advice outside the app boundary.</w:t>
      </w:r>
    </w:p>
    <w:p>
      <w:pPr>
        <w:pStyle w:val="Heading1"/>
      </w:pPr>
      <w:r>
        <w:t>3. Official context used for Phase 1</w:t>
      </w:r>
    </w:p>
    <w:p>
      <w:r>
        <w:t>The build should be treated as post-reform focused. The official material reviewed for this Phase 1 package includes the VETS Act listing on the Federal Register and DVA reform pages on permanent impairment compensation and frequently asked questions.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Pr>
          <w:p>
            <w:r>
              <w:rPr>
                <w:b/>
                <w:color w:val="FFFFFF"/>
                <w:sz w:val="18"/>
              </w:rPr>
              <w:t>Source</w:t>
            </w:r>
          </w:p>
        </w:tc>
        <w:tc>
          <w:tcPr>
            <w:tcW w:type="dxa" w:w="5184"/>
            <w:shd w:fill="1F4E79"/>
            <w:vAlign w:val="top"/>
          </w:tcPr>
          <w:p>
            <w:r>
              <w:rPr>
                <w:b/>
                <w:color w:val="FFFFFF"/>
                <w:sz w:val="18"/>
              </w:rPr>
              <w:t>URL</w:t>
            </w:r>
          </w:p>
        </w:tc>
      </w:tr>
      <w:tr>
        <w:tc>
          <w:tcPr>
            <w:tcW w:type="dxa" w:w="5184"/>
            <w:vAlign w:val="top"/>
          </w:tcPr>
          <w:p>
            <w:r>
              <w:rPr>
                <w:sz w:val="18"/>
              </w:rPr>
              <w:t>Federal Register of Legislation - Veterans' Entitlements, Treatment and Support (Simplification and Harmonisation) Act 2025</w:t>
            </w:r>
          </w:p>
        </w:tc>
        <w:tc>
          <w:tcPr>
            <w:tcW w:type="dxa" w:w="5184"/>
            <w:vAlign w:val="top"/>
          </w:tcPr>
          <w:p>
            <w:r>
              <w:rPr>
                <w:sz w:val="18"/>
              </w:rPr>
              <w:t>https://www.legislation.gov.au/C2025A00017/latest</w:t>
            </w:r>
          </w:p>
        </w:tc>
      </w:tr>
      <w:tr>
        <w:tc>
          <w:tcPr>
            <w:tcW w:type="dxa" w:w="5184"/>
            <w:vAlign w:val="top"/>
          </w:tcPr>
          <w:p>
            <w:r>
              <w:rPr>
                <w:sz w:val="18"/>
              </w:rPr>
              <w:t>DVA - Permanent Impairment Compensation</w:t>
            </w:r>
          </w:p>
        </w:tc>
        <w:tc>
          <w:tcPr>
            <w:tcW w:type="dxa" w:w="5184"/>
            <w:vAlign w:val="top"/>
          </w:tcPr>
          <w:p>
            <w:r>
              <w:rPr>
                <w:sz w:val="18"/>
              </w:rPr>
              <w:t>https://www.dva.gov.au/about-us/inquiries-and-reviews/veterans-legislation-reform/veterans-legislation-reform-resources/permanent-impairment-compensation</w:t>
            </w:r>
          </w:p>
        </w:tc>
      </w:tr>
      <w:tr>
        <w:tc>
          <w:tcPr>
            <w:tcW w:type="dxa" w:w="5184"/>
            <w:vAlign w:val="top"/>
          </w:tcPr>
          <w:p>
            <w:r>
              <w:rPr>
                <w:sz w:val="18"/>
              </w:rPr>
              <w:t>DVA - Veterans' Legislation Reform Frequently Asked Questions</w:t>
            </w:r>
          </w:p>
        </w:tc>
        <w:tc>
          <w:tcPr>
            <w:tcW w:type="dxa" w:w="5184"/>
            <w:vAlign w:val="top"/>
          </w:tcPr>
          <w:p>
            <w:r>
              <w:rPr>
                <w:sz w:val="18"/>
              </w:rPr>
              <w:t>https://www.dva.gov.au/about-us/inquiries-and-reviews/veterans-legislation-reform/veterans-legislation-reform-resources/veterans-legislation-reform-frequently-asked-questions</w:t>
            </w:r>
          </w:p>
        </w:tc>
      </w:tr>
      <w:tr>
        <w:tc>
          <w:tcPr>
            <w:tcW w:type="dxa" w:w="5184"/>
            <w:vAlign w:val="top"/>
          </w:tcPr>
          <w:p>
            <w:r>
              <w:rPr>
                <w:sz w:val="18"/>
              </w:rPr>
              <w:t>DVA - MRCA Veterans and Dependants</w:t>
            </w:r>
          </w:p>
        </w:tc>
        <w:tc>
          <w:tcPr>
            <w:tcW w:type="dxa" w:w="5184"/>
            <w:vAlign w:val="top"/>
          </w:tcPr>
          <w:p>
            <w:r>
              <w:rPr>
                <w:sz w:val="18"/>
              </w:rPr>
              <w:t>https://www.dva.gov.au/about-us/inquiries-and-reviews/veterans-legislation-reform/veterans-legislation-reform-resources/mrca-veterans-and-dependants</w:t>
            </w:r>
          </w:p>
        </w:tc>
      </w:tr>
    </w:tbl>
    <w:p>
      <w:r>
        <w:t>Note: source references are included for product design and build scoping only. Current DVA and legislative sources must be checked again before release, before commercial claims are made, and before the app handles real user data.</w:t>
      </w:r>
    </w:p>
    <w:p>
      <w:pPr>
        <w:pStyle w:val="Heading1"/>
      </w:pPr>
      <w:r>
        <w:t>4. MVP inclusions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Pr>
          <w:p>
            <w:r>
              <w:rPr>
                <w:b/>
                <w:color w:val="FFFFFF"/>
                <w:sz w:val="18"/>
              </w:rPr>
              <w:t>Feature</w:t>
            </w:r>
          </w:p>
        </w:tc>
        <w:tc>
          <w:tcPr>
            <w:tcW w:type="dxa" w:w="5184"/>
            <w:shd w:fill="1F4E79"/>
            <w:vAlign w:val="top"/>
          </w:tcPr>
          <w:p>
            <w:r>
              <w:rPr>
                <w:b/>
                <w:color w:val="FFFFFF"/>
                <w:sz w:val="18"/>
              </w:rPr>
              <w:t>MVP notes</w:t>
            </w:r>
          </w:p>
        </w:tc>
      </w:tr>
      <w:tr>
        <w:tc>
          <w:tcPr>
            <w:tcW w:type="dxa" w:w="5184"/>
            <w:vAlign w:val="top"/>
          </w:tcPr>
          <w:p>
            <w:r>
              <w:rPr>
                <w:sz w:val="18"/>
              </w:rPr>
              <w:t>Veteran account login</w:t>
            </w:r>
          </w:p>
        </w:tc>
        <w:tc>
          <w:tcPr>
            <w:tcW w:type="dxa" w:w="5184"/>
            <w:vAlign w:val="top"/>
          </w:tcPr>
          <w:p>
            <w:r>
              <w:rPr>
                <w:sz w:val="18"/>
              </w:rPr>
              <w:t>Firebase Authentication</w:t>
            </w:r>
          </w:p>
        </w:tc>
      </w:tr>
      <w:tr>
        <w:tc>
          <w:tcPr>
            <w:tcW w:type="dxa" w:w="5184"/>
            <w:vAlign w:val="top"/>
          </w:tcPr>
          <w:p>
            <w:r>
              <w:rPr>
                <w:sz w:val="18"/>
              </w:rPr>
              <w:t>Post-2026 claim workspace</w:t>
            </w:r>
          </w:p>
        </w:tc>
        <w:tc>
          <w:tcPr>
            <w:tcW w:type="dxa" w:w="5184"/>
            <w:vAlign w:val="top"/>
          </w:tcPr>
          <w:p>
            <w:r>
              <w:rPr>
                <w:sz w:val="18"/>
              </w:rPr>
              <w:t>Primary user workspace</w:t>
            </w:r>
          </w:p>
        </w:tc>
      </w:tr>
      <w:tr>
        <w:tc>
          <w:tcPr>
            <w:tcW w:type="dxa" w:w="5184"/>
            <w:vAlign w:val="top"/>
          </w:tcPr>
          <w:p>
            <w:r>
              <w:rPr>
                <w:sz w:val="18"/>
              </w:rPr>
              <w:t>Claim pathway selector</w:t>
            </w:r>
          </w:p>
        </w:tc>
        <w:tc>
          <w:tcPr>
            <w:tcW w:type="dxa" w:w="5184"/>
            <w:vAlign w:val="top"/>
          </w:tcPr>
          <w:p>
            <w:r>
              <w:rPr>
                <w:sz w:val="18"/>
              </w:rPr>
              <w:t>New condition, worsening, new plus existing, evidence prep, unsure</w:t>
            </w:r>
          </w:p>
        </w:tc>
      </w:tr>
      <w:tr>
        <w:tc>
          <w:tcPr>
            <w:tcW w:type="dxa" w:w="5184"/>
            <w:vAlign w:val="top"/>
          </w:tcPr>
          <w:p>
            <w:r>
              <w:rPr>
                <w:sz w:val="18"/>
              </w:rPr>
              <w:t>Condition intake</w:t>
            </w:r>
          </w:p>
        </w:tc>
        <w:tc>
          <w:tcPr>
            <w:tcW w:type="dxa" w:w="5184"/>
            <w:vAlign w:val="top"/>
          </w:tcPr>
          <w:p>
            <w:r>
              <w:rPr>
                <w:sz w:val="18"/>
              </w:rPr>
              <w:t>Diagnosis, symptoms, treatment, impact and stability notes</w:t>
            </w:r>
          </w:p>
        </w:tc>
      </w:tr>
      <w:tr>
        <w:tc>
          <w:tcPr>
            <w:tcW w:type="dxa" w:w="5184"/>
            <w:vAlign w:val="top"/>
          </w:tcPr>
          <w:p>
            <w:r>
              <w:rPr>
                <w:sz w:val="18"/>
              </w:rPr>
              <w:t>Accepted-condition history</w:t>
            </w:r>
          </w:p>
        </w:tc>
        <w:tc>
          <w:tcPr>
            <w:tcW w:type="dxa" w:w="5184"/>
            <w:vAlign w:val="top"/>
          </w:tcPr>
          <w:p>
            <w:r>
              <w:rPr>
                <w:sz w:val="18"/>
              </w:rPr>
              <w:t>Capture VEA, DRCA, MRCA or unknown background</w:t>
            </w:r>
          </w:p>
        </w:tc>
      </w:tr>
      <w:tr>
        <w:tc>
          <w:tcPr>
            <w:tcW w:type="dxa" w:w="5184"/>
            <w:vAlign w:val="top"/>
          </w:tcPr>
          <w:p>
            <w:r>
              <w:rPr>
                <w:sz w:val="18"/>
              </w:rPr>
              <w:t>Evidence checklist</w:t>
            </w:r>
          </w:p>
        </w:tc>
        <w:tc>
          <w:tcPr>
            <w:tcW w:type="dxa" w:w="5184"/>
            <w:vAlign w:val="top"/>
          </w:tcPr>
          <w:p>
            <w:r>
              <w:rPr>
                <w:sz w:val="18"/>
              </w:rPr>
              <w:t>Show uploaded, missing and confirmed evidence</w:t>
            </w:r>
          </w:p>
        </w:tc>
      </w:tr>
      <w:tr>
        <w:tc>
          <w:tcPr>
            <w:tcW w:type="dxa" w:w="5184"/>
            <w:vAlign w:val="top"/>
          </w:tcPr>
          <w:p>
            <w:r>
              <w:rPr>
                <w:sz w:val="18"/>
              </w:rPr>
              <w:t>Evidence upload</w:t>
            </w:r>
          </w:p>
        </w:tc>
        <w:tc>
          <w:tcPr>
            <w:tcW w:type="dxa" w:w="5184"/>
            <w:vAlign w:val="top"/>
          </w:tcPr>
          <w:p>
            <w:r>
              <w:rPr>
                <w:sz w:val="18"/>
              </w:rPr>
              <w:t>Private Cloud Storage with metadata in Cloud SQL</w:t>
            </w:r>
          </w:p>
        </w:tc>
      </w:tr>
      <w:tr>
        <w:tc>
          <w:tcPr>
            <w:tcW w:type="dxa" w:w="5184"/>
            <w:vAlign w:val="top"/>
          </w:tcPr>
          <w:p>
            <w:r>
              <w:rPr>
                <w:sz w:val="18"/>
              </w:rPr>
              <w:t>Evidence gap tracker</w:t>
            </w:r>
          </w:p>
        </w:tc>
        <w:tc>
          <w:tcPr>
            <w:tcW w:type="dxa" w:w="5184"/>
            <w:vAlign w:val="top"/>
          </w:tcPr>
          <w:p>
            <w:r>
              <w:rPr>
                <w:sz w:val="18"/>
              </w:rPr>
              <w:t>Core MVP value</w:t>
            </w:r>
          </w:p>
        </w:tc>
      </w:tr>
      <w:tr>
        <w:tc>
          <w:tcPr>
            <w:tcW w:type="dxa" w:w="5184"/>
            <w:vAlign w:val="top"/>
          </w:tcPr>
          <w:p>
            <w:r>
              <w:rPr>
                <w:sz w:val="18"/>
              </w:rPr>
              <w:t>AI draft veteran statement</w:t>
            </w:r>
          </w:p>
        </w:tc>
        <w:tc>
          <w:tcPr>
            <w:tcW w:type="dxa" w:w="5184"/>
            <w:vAlign w:val="top"/>
          </w:tcPr>
          <w:p>
            <w:r>
              <w:rPr>
                <w:sz w:val="18"/>
              </w:rPr>
              <w:t>Draft only; user review required</w:t>
            </w:r>
          </w:p>
        </w:tc>
      </w:tr>
      <w:tr>
        <w:tc>
          <w:tcPr>
            <w:tcW w:type="dxa" w:w="5184"/>
            <w:vAlign w:val="top"/>
          </w:tcPr>
          <w:p>
            <w:r>
              <w:rPr>
                <w:sz w:val="18"/>
              </w:rPr>
              <w:t>AI doctor questions</w:t>
            </w:r>
          </w:p>
        </w:tc>
        <w:tc>
          <w:tcPr>
            <w:tcW w:type="dxa" w:w="5184"/>
            <w:vAlign w:val="top"/>
          </w:tcPr>
          <w:p>
            <w:r>
              <w:rPr>
                <w:sz w:val="18"/>
              </w:rPr>
              <w:t>Draft only; doctor to review clinical matters</w:t>
            </w:r>
          </w:p>
        </w:tc>
      </w:tr>
      <w:tr>
        <w:tc>
          <w:tcPr>
            <w:tcW w:type="dxa" w:w="5184"/>
            <w:vAlign w:val="top"/>
          </w:tcPr>
          <w:p>
            <w:r>
              <w:rPr>
                <w:sz w:val="18"/>
              </w:rPr>
              <w:t>AI doctor request letter</w:t>
            </w:r>
          </w:p>
        </w:tc>
        <w:tc>
          <w:tcPr>
            <w:tcW w:type="dxa" w:w="5184"/>
            <w:vAlign w:val="top"/>
          </w:tcPr>
          <w:p>
            <w:r>
              <w:rPr>
                <w:sz w:val="18"/>
              </w:rPr>
              <w:t>Draft only; safe wording required</w:t>
            </w:r>
          </w:p>
        </w:tc>
      </w:tr>
      <w:tr>
        <w:tc>
          <w:tcPr>
            <w:tcW w:type="dxa" w:w="5184"/>
            <w:vAlign w:val="top"/>
          </w:tcPr>
          <w:p>
            <w:r>
              <w:rPr>
                <w:sz w:val="18"/>
              </w:rPr>
              <w:t>DOCX/PDF starter pack</w:t>
            </w:r>
          </w:p>
        </w:tc>
        <w:tc>
          <w:tcPr>
            <w:tcW w:type="dxa" w:w="5184"/>
            <w:vAlign w:val="top"/>
          </w:tcPr>
          <w:p>
            <w:r>
              <w:rPr>
                <w:sz w:val="18"/>
              </w:rPr>
              <w:t>Main export output</w:t>
            </w:r>
          </w:p>
        </w:tc>
      </w:tr>
      <w:tr>
        <w:tc>
          <w:tcPr>
            <w:tcW w:type="dxa" w:w="5184"/>
            <w:vAlign w:val="top"/>
          </w:tcPr>
          <w:p>
            <w:r>
              <w:rPr>
                <w:sz w:val="18"/>
              </w:rPr>
              <w:t>AI-use disclosure</w:t>
            </w:r>
          </w:p>
        </w:tc>
        <w:tc>
          <w:tcPr>
            <w:tcW w:type="dxa" w:w="5184"/>
            <w:vAlign w:val="top"/>
          </w:tcPr>
          <w:p>
            <w:r>
              <w:rPr>
                <w:sz w:val="18"/>
              </w:rPr>
              <w:t>Visible to users and in generated packs</w:t>
            </w:r>
          </w:p>
        </w:tc>
      </w:tr>
      <w:tr>
        <w:tc>
          <w:tcPr>
            <w:tcW w:type="dxa" w:w="5184"/>
            <w:vAlign w:val="top"/>
          </w:tcPr>
          <w:p>
            <w:r>
              <w:rPr>
                <w:sz w:val="18"/>
              </w:rPr>
              <w:t>Basic admin source/template control</w:t>
            </w:r>
          </w:p>
        </w:tc>
        <w:tc>
          <w:tcPr>
            <w:tcW w:type="dxa" w:w="5184"/>
            <w:vAlign w:val="top"/>
          </w:tcPr>
          <w:p>
            <w:r>
              <w:rPr>
                <w:sz w:val="18"/>
              </w:rPr>
              <w:t>Minimum viable maintainability</w:t>
            </w:r>
          </w:p>
        </w:tc>
      </w:tr>
    </w:tbl>
    <w:p>
      <w:pPr>
        <w:pStyle w:val="Heading1"/>
      </w:pPr>
      <w:r>
        <w:t>5. MVP exclusions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Pr>
          <w:p>
            <w:r>
              <w:rPr>
                <w:b/>
                <w:color w:val="FFFFFF"/>
                <w:sz w:val="18"/>
              </w:rPr>
              <w:t>Excluded feature</w:t>
            </w:r>
          </w:p>
        </w:tc>
        <w:tc>
          <w:tcPr>
            <w:tcW w:type="dxa" w:w="5184"/>
            <w:shd w:fill="1F4E79"/>
            <w:vAlign w:val="top"/>
          </w:tcPr>
          <w:p>
            <w:r>
              <w:rPr>
                <w:b/>
                <w:color w:val="FFFFFF"/>
                <w:sz w:val="18"/>
              </w:rPr>
              <w:t>Reason</w:t>
            </w:r>
          </w:p>
        </w:tc>
      </w:tr>
      <w:tr>
        <w:tc>
          <w:tcPr>
            <w:tcW w:type="dxa" w:w="5184"/>
            <w:vAlign w:val="top"/>
          </w:tcPr>
          <w:p>
            <w:r>
              <w:rPr>
                <w:sz w:val="18"/>
              </w:rPr>
              <w:t>GARP M score calculator</w:t>
            </w:r>
          </w:p>
        </w:tc>
        <w:tc>
          <w:tcPr>
            <w:tcW w:type="dxa" w:w="5184"/>
            <w:vAlign w:val="top"/>
          </w:tcPr>
          <w:p>
            <w:r>
              <w:rPr>
                <w:sz w:val="18"/>
              </w:rPr>
              <w:t>Excluded to avoid misleading or unsafe scoring claims.</w:t>
            </w:r>
          </w:p>
        </w:tc>
      </w:tr>
      <w:tr>
        <w:tc>
          <w:tcPr>
            <w:tcW w:type="dxa" w:w="5184"/>
            <w:vAlign w:val="top"/>
          </w:tcPr>
          <w:p>
            <w:r>
              <w:rPr>
                <w:sz w:val="18"/>
              </w:rPr>
              <w:t>Compensation estimate</w:t>
            </w:r>
          </w:p>
        </w:tc>
        <w:tc>
          <w:tcPr>
            <w:tcW w:type="dxa" w:w="5184"/>
            <w:vAlign w:val="top"/>
          </w:tcPr>
          <w:p>
            <w:r>
              <w:rPr>
                <w:sz w:val="18"/>
              </w:rPr>
              <w:t>Excluded until formal legal/compliance review and authoritative calculation logic exist.</w:t>
            </w:r>
          </w:p>
        </w:tc>
      </w:tr>
      <w:tr>
        <w:tc>
          <w:tcPr>
            <w:tcW w:type="dxa" w:w="5184"/>
            <w:vAlign w:val="top"/>
          </w:tcPr>
          <w:p>
            <w:r>
              <w:rPr>
                <w:sz w:val="18"/>
              </w:rPr>
              <w:t>DVA outcome prediction</w:t>
            </w:r>
          </w:p>
        </w:tc>
        <w:tc>
          <w:tcPr>
            <w:tcW w:type="dxa" w:w="5184"/>
            <w:vAlign w:val="top"/>
          </w:tcPr>
          <w:p>
            <w:r>
              <w:rPr>
                <w:sz w:val="18"/>
              </w:rPr>
              <w:t>Excluded because the app cannot know or guarantee DVA decisions.</w:t>
            </w:r>
          </w:p>
        </w:tc>
      </w:tr>
      <w:tr>
        <w:tc>
          <w:tcPr>
            <w:tcW w:type="dxa" w:w="5184"/>
            <w:vAlign w:val="top"/>
          </w:tcPr>
          <w:p>
            <w:r>
              <w:rPr>
                <w:sz w:val="18"/>
              </w:rPr>
              <w:t>Legal advice</w:t>
            </w:r>
          </w:p>
        </w:tc>
        <w:tc>
          <w:tcPr>
            <w:tcW w:type="dxa" w:w="5184"/>
            <w:vAlign w:val="top"/>
          </w:tcPr>
          <w:p>
            <w:r>
              <w:rPr>
                <w:sz w:val="18"/>
              </w:rPr>
              <w:t>Excluded; direct users to qualified advocates or lawyers where appropriate.</w:t>
            </w:r>
          </w:p>
        </w:tc>
      </w:tr>
      <w:tr>
        <w:tc>
          <w:tcPr>
            <w:tcW w:type="dxa" w:w="5184"/>
            <w:vAlign w:val="top"/>
          </w:tcPr>
          <w:p>
            <w:r>
              <w:rPr>
                <w:sz w:val="18"/>
              </w:rPr>
              <w:t>Medical advice</w:t>
            </w:r>
          </w:p>
        </w:tc>
        <w:tc>
          <w:tcPr>
            <w:tcW w:type="dxa" w:w="5184"/>
            <w:vAlign w:val="top"/>
          </w:tcPr>
          <w:p>
            <w:r>
              <w:rPr>
                <w:sz w:val="18"/>
              </w:rPr>
              <w:t>Excluded; direct users to qualified health professionals.</w:t>
            </w:r>
          </w:p>
        </w:tc>
      </w:tr>
      <w:tr>
        <w:tc>
          <w:tcPr>
            <w:tcW w:type="dxa" w:w="5184"/>
            <w:vAlign w:val="top"/>
          </w:tcPr>
          <w:p>
            <w:r>
              <w:rPr>
                <w:sz w:val="18"/>
              </w:rPr>
              <w:t>Doctor account portal</w:t>
            </w:r>
          </w:p>
        </w:tc>
        <w:tc>
          <w:tcPr>
            <w:tcW w:type="dxa" w:w="5184"/>
            <w:vAlign w:val="top"/>
          </w:tcPr>
          <w:p>
            <w:r>
              <w:rPr>
                <w:sz w:val="18"/>
              </w:rPr>
              <w:t>Later phase after veteran workflow is proven.</w:t>
            </w:r>
          </w:p>
        </w:tc>
      </w:tr>
      <w:tr>
        <w:tc>
          <w:tcPr>
            <w:tcW w:type="dxa" w:w="5184"/>
            <w:vAlign w:val="top"/>
          </w:tcPr>
          <w:p>
            <w:r>
              <w:rPr>
                <w:sz w:val="18"/>
              </w:rPr>
              <w:t>Advocate marketplace</w:t>
            </w:r>
          </w:p>
        </w:tc>
        <w:tc>
          <w:tcPr>
            <w:tcW w:type="dxa" w:w="5184"/>
            <w:vAlign w:val="top"/>
          </w:tcPr>
          <w:p>
            <w:r>
              <w:rPr>
                <w:sz w:val="18"/>
              </w:rPr>
              <w:t>Later commercial feature.</w:t>
            </w:r>
          </w:p>
        </w:tc>
      </w:tr>
      <w:tr>
        <w:tc>
          <w:tcPr>
            <w:tcW w:type="dxa" w:w="5184"/>
            <w:vAlign w:val="top"/>
          </w:tcPr>
          <w:p>
            <w:r>
              <w:rPr>
                <w:sz w:val="18"/>
              </w:rPr>
              <w:t>Direct DVA lodgement</w:t>
            </w:r>
          </w:p>
        </w:tc>
        <w:tc>
          <w:tcPr>
            <w:tcW w:type="dxa" w:w="5184"/>
            <w:vAlign w:val="top"/>
          </w:tcPr>
          <w:p>
            <w:r>
              <w:rPr>
                <w:sz w:val="18"/>
              </w:rPr>
              <w:t>Later only after compliance review.</w:t>
            </w:r>
          </w:p>
        </w:tc>
      </w:tr>
      <w:tr>
        <w:tc>
          <w:tcPr>
            <w:tcW w:type="dxa" w:w="5184"/>
            <w:vAlign w:val="top"/>
          </w:tcPr>
          <w:p>
            <w:r>
              <w:rPr>
                <w:sz w:val="18"/>
              </w:rPr>
              <w:t>Payments/subscriptions</w:t>
            </w:r>
          </w:p>
        </w:tc>
        <w:tc>
          <w:tcPr>
            <w:tcW w:type="dxa" w:w="5184"/>
            <w:vAlign w:val="top"/>
          </w:tcPr>
          <w:p>
            <w:r>
              <w:rPr>
                <w:sz w:val="18"/>
              </w:rPr>
              <w:t>Later after private pilot.</w:t>
            </w:r>
          </w:p>
        </w:tc>
      </w:tr>
    </w:tbl>
    <w:p>
      <w:pPr>
        <w:pStyle w:val="Heading1"/>
      </w:pPr>
      <w:r>
        <w:t>6. Supported Phase 1 claim scenarios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top"/>
          </w:tcPr>
          <w:p>
            <w:r>
              <w:rPr>
                <w:b/>
                <w:color w:val="FFFFFF"/>
                <w:sz w:val="18"/>
              </w:rPr>
              <w:t>Scenario code</w:t>
            </w:r>
          </w:p>
        </w:tc>
        <w:tc>
          <w:tcPr>
            <w:tcW w:type="dxa" w:w="3456"/>
            <w:shd w:fill="1F4E79"/>
            <w:vAlign w:val="top"/>
          </w:tcPr>
          <w:p>
            <w:r>
              <w:rPr>
                <w:b/>
                <w:color w:val="FFFFFF"/>
                <w:sz w:val="18"/>
              </w:rPr>
              <w:t>User wording</w:t>
            </w:r>
          </w:p>
        </w:tc>
        <w:tc>
          <w:tcPr>
            <w:tcW w:type="dxa" w:w="3456"/>
            <w:shd w:fill="1F4E79"/>
            <w:vAlign w:val="top"/>
          </w:tcPr>
          <w:p>
            <w:r>
              <w:rPr>
                <w:b/>
                <w:color w:val="FFFFFF"/>
                <w:sz w:val="18"/>
              </w:rPr>
              <w:t>MVP behaviour</w:t>
            </w:r>
          </w:p>
        </w:tc>
      </w:tr>
      <w:tr>
        <w:tc>
          <w:tcPr>
            <w:tcW w:type="dxa" w:w="3456"/>
            <w:vAlign w:val="top"/>
          </w:tcPr>
          <w:p>
            <w:r>
              <w:rPr>
                <w:sz w:val="18"/>
              </w:rPr>
              <w:t>NEW_CONDITION</w:t>
            </w:r>
          </w:p>
        </w:tc>
        <w:tc>
          <w:tcPr>
            <w:tcW w:type="dxa" w:w="3456"/>
            <w:vAlign w:val="top"/>
          </w:tcPr>
          <w:p>
            <w:r>
              <w:rPr>
                <w:sz w:val="18"/>
              </w:rPr>
              <w:t>A new permanent impairment claim for a new condition</w:t>
            </w:r>
          </w:p>
        </w:tc>
        <w:tc>
          <w:tcPr>
            <w:tcW w:type="dxa" w:w="3456"/>
            <w:vAlign w:val="top"/>
          </w:tcPr>
          <w:p>
            <w:r>
              <w:rPr>
                <w:sz w:val="18"/>
              </w:rPr>
              <w:t>Collect diagnosis, symptoms, treatment, functional impact and evidence.</w:t>
            </w:r>
          </w:p>
        </w:tc>
      </w:tr>
      <w:tr>
        <w:tc>
          <w:tcPr>
            <w:tcW w:type="dxa" w:w="3456"/>
            <w:vAlign w:val="top"/>
          </w:tcPr>
          <w:p>
            <w:r>
              <w:rPr>
                <w:sz w:val="18"/>
              </w:rPr>
              <w:t>WORSENING_EXISTING_CONDITION</w:t>
            </w:r>
          </w:p>
        </w:tc>
        <w:tc>
          <w:tcPr>
            <w:tcW w:type="dxa" w:w="3456"/>
            <w:vAlign w:val="top"/>
          </w:tcPr>
          <w:p>
            <w:r>
              <w:rPr>
                <w:sz w:val="18"/>
              </w:rPr>
              <w:t>A worsening claim for an existing accepted condition</w:t>
            </w:r>
          </w:p>
        </w:tc>
        <w:tc>
          <w:tcPr>
            <w:tcW w:type="dxa" w:w="3456"/>
            <w:vAlign w:val="top"/>
          </w:tcPr>
          <w:p>
            <w:r>
              <w:rPr>
                <w:sz w:val="18"/>
              </w:rPr>
              <w:t>Collect previous acceptance, previous assessment details, what changed and evidence of worsening.</w:t>
            </w:r>
          </w:p>
        </w:tc>
      </w:tr>
      <w:tr>
        <w:tc>
          <w:tcPr>
            <w:tcW w:type="dxa" w:w="3456"/>
            <w:vAlign w:val="top"/>
          </w:tcPr>
          <w:p>
            <w:r>
              <w:rPr>
                <w:sz w:val="18"/>
              </w:rPr>
              <w:t>NEW_PLUS_EXISTING</w:t>
            </w:r>
          </w:p>
        </w:tc>
        <w:tc>
          <w:tcPr>
            <w:tcW w:type="dxa" w:w="3456"/>
            <w:vAlign w:val="top"/>
          </w:tcPr>
          <w:p>
            <w:r>
              <w:rPr>
                <w:sz w:val="18"/>
              </w:rPr>
              <w:t>A new condition where the veteran also has existing compensated conditions</w:t>
            </w:r>
          </w:p>
        </w:tc>
        <w:tc>
          <w:tcPr>
            <w:tcW w:type="dxa" w:w="3456"/>
            <w:vAlign w:val="top"/>
          </w:tcPr>
          <w:p>
            <w:r>
              <w:rPr>
                <w:sz w:val="18"/>
              </w:rPr>
              <w:t>Collect new condition material and accepted-condition history.</w:t>
            </w:r>
          </w:p>
        </w:tc>
      </w:tr>
      <w:tr>
        <w:tc>
          <w:tcPr>
            <w:tcW w:type="dxa" w:w="3456"/>
            <w:vAlign w:val="top"/>
          </w:tcPr>
          <w:p>
            <w:r>
              <w:rPr>
                <w:sz w:val="18"/>
              </w:rPr>
              <w:t>EVIDENCE_PREP_ONLY</w:t>
            </w:r>
          </w:p>
        </w:tc>
        <w:tc>
          <w:tcPr>
            <w:tcW w:type="dxa" w:w="3456"/>
            <w:vAlign w:val="top"/>
          </w:tcPr>
          <w:p>
            <w:r>
              <w:rPr>
                <w:sz w:val="18"/>
              </w:rPr>
              <w:t>An evidence pack for a doctor or advocate</w:t>
            </w:r>
          </w:p>
        </w:tc>
        <w:tc>
          <w:tcPr>
            <w:tcW w:type="dxa" w:w="3456"/>
            <w:vAlign w:val="top"/>
          </w:tcPr>
          <w:p>
            <w:r>
              <w:rPr>
                <w:sz w:val="18"/>
              </w:rPr>
              <w:t>Avoid claim assumptions; focus on organising information and gaps.</w:t>
            </w:r>
          </w:p>
        </w:tc>
      </w:tr>
      <w:tr>
        <w:tc>
          <w:tcPr>
            <w:tcW w:type="dxa" w:w="3456"/>
            <w:vAlign w:val="top"/>
          </w:tcPr>
          <w:p>
            <w:r>
              <w:rPr>
                <w:sz w:val="18"/>
              </w:rPr>
              <w:t>UNSURE</w:t>
            </w:r>
          </w:p>
        </w:tc>
        <w:tc>
          <w:tcPr>
            <w:tcW w:type="dxa" w:w="3456"/>
            <w:vAlign w:val="top"/>
          </w:tcPr>
          <w:p>
            <w:r>
              <w:rPr>
                <w:sz w:val="18"/>
              </w:rPr>
              <w:t>I am unsure</w:t>
            </w:r>
          </w:p>
        </w:tc>
        <w:tc>
          <w:tcPr>
            <w:tcW w:type="dxa" w:w="3456"/>
            <w:vAlign w:val="top"/>
          </w:tcPr>
          <w:p>
            <w:r>
              <w:rPr>
                <w:sz w:val="18"/>
              </w:rPr>
              <w:t>Guide the user through plain-English questions without making a determination.</w:t>
            </w:r>
          </w:p>
        </w:tc>
      </w:tr>
    </w:tbl>
    <w:p>
      <w:pPr>
        <w:pStyle w:val="Heading1"/>
      </w:pPr>
      <w:r>
        <w:t>7. First user journey</w:t>
      </w:r>
    </w:p>
    <w:p>
      <w:pPr>
        <w:pStyle w:val="ListNumber"/>
      </w:pPr>
      <w:r>
        <w:t>User opens app or web app.</w:t>
      </w:r>
    </w:p>
    <w:p>
      <w:pPr>
        <w:pStyle w:val="ListNumber"/>
      </w:pPr>
      <w:r>
        <w:t>User creates an account or logs in.</w:t>
      </w:r>
    </w:p>
    <w:p>
      <w:pPr>
        <w:pStyle w:val="ListNumber"/>
      </w:pPr>
      <w:r>
        <w:t>User sees and accepts disclaimer and AI-use notice.</w:t>
      </w:r>
    </w:p>
    <w:p>
      <w:pPr>
        <w:pStyle w:val="ListNumber"/>
      </w:pPr>
      <w:r>
        <w:t>User creates a new claim workspace.</w:t>
      </w:r>
    </w:p>
    <w:p>
      <w:pPr>
        <w:pStyle w:val="ListNumber"/>
      </w:pPr>
      <w:r>
        <w:t>User selects what they are preparing.</w:t>
      </w:r>
    </w:p>
    <w:p>
      <w:pPr>
        <w:pStyle w:val="ListNumber"/>
      </w:pPr>
      <w:r>
        <w:t>User enters condition details.</w:t>
      </w:r>
    </w:p>
    <w:p>
      <w:pPr>
        <w:pStyle w:val="ListNumber"/>
      </w:pPr>
      <w:r>
        <w:t>User enters existing accepted-condition history, if relevant.</w:t>
      </w:r>
    </w:p>
    <w:p>
      <w:pPr>
        <w:pStyle w:val="ListNumber"/>
      </w:pPr>
      <w:r>
        <w:t>User answers GARP M-aware evidence questions.</w:t>
      </w:r>
    </w:p>
    <w:p>
      <w:pPr>
        <w:pStyle w:val="ListNumber"/>
      </w:pPr>
      <w:r>
        <w:t>User uploads evidence.</w:t>
      </w:r>
    </w:p>
    <w:p>
      <w:pPr>
        <w:pStyle w:val="ListNumber"/>
      </w:pPr>
      <w:r>
        <w:t>App shows evidence gaps.</w:t>
      </w:r>
    </w:p>
    <w:p>
      <w:pPr>
        <w:pStyle w:val="ListNumber"/>
      </w:pPr>
      <w:r>
        <w:t>AI drafts veteran statement and doctor questions.</w:t>
      </w:r>
    </w:p>
    <w:p>
      <w:pPr>
        <w:pStyle w:val="ListNumber"/>
      </w:pPr>
      <w:r>
        <w:t>User reviews, edits and approves drafts.</w:t>
      </w:r>
    </w:p>
    <w:p>
      <w:pPr>
        <w:pStyle w:val="ListNumber"/>
      </w:pPr>
      <w:r>
        <w:t>User generates Post-2026 PI Claim Starter Pack.</w:t>
      </w:r>
    </w:p>
    <w:p>
      <w:pPr>
        <w:pStyle w:val="ListNumber"/>
      </w:pPr>
      <w:r>
        <w:t>User downloads DOCX/PDF.</w:t>
      </w:r>
    </w:p>
    <w:p>
      <w:pPr>
        <w:pStyle w:val="Heading1"/>
      </w:pPr>
      <w:r>
        <w:t>8. Required first pathway selector</w:t>
      </w:r>
    </w:p>
    <w:p>
      <w:r>
        <w:t>The first screen after login should ask:</w:t>
      </w:r>
    </w:p>
    <w:tbl>
      <w:tblPr>
        <w:tblStyle w:val="TableGrid"/>
        <w:tblW w:type="auto" w:w="0"/>
        <w:jc w:val="center"/>
        <w:tblLayout w:type="autofit"/>
        <w:tblLook w:firstColumn="1" w:firstRow="1" w:lastColumn="0" w:lastRow="0" w:noHBand="0" w:noVBand="1" w:val="04A0"/>
      </w:tblPr>
      <w:tblGrid>
        <w:gridCol w:w="10368"/>
      </w:tblGrid>
      <w:tr>
        <w:tc>
          <w:tcPr>
            <w:tcW w:type="dxa" w:w="10368"/>
            <w:shd w:fill="E2F0D9"/>
            <w:vAlign w:val="top"/>
          </w:tcPr>
          <w:p>
            <w:r>
              <w:rPr>
                <w:sz w:val="18"/>
              </w:rPr>
            </w:r>
            <w:r>
              <w:rPr>
                <w:b/>
                <w:color w:val="9C6500"/>
                <w:sz w:val="18"/>
              </w:rPr>
              <w:t>What are you preparing?</w:t>
              <w:br/>
            </w:r>
            <w:r>
              <w:rPr>
                <w:sz w:val="18"/>
              </w:rPr>
              <w:t>1. A new permanent impairment claim for a new condition</w:t>
              <w:br/>
              <w:t>2. A worsening claim for an existing accepted condition</w:t>
              <w:br/>
              <w:t>3. A new condition where you also have existing compensated conditions</w:t>
              <w:br/>
              <w:t>4. An evidence pack for a doctor or advocate</w:t>
              <w:br/>
              <w:t>5. I am unsure</w:t>
            </w:r>
          </w:p>
        </w:tc>
      </w:tr>
    </w:tbl>
    <w:p/>
    <w:p>
      <w:pPr>
        <w:pStyle w:val="Heading1"/>
      </w:pPr>
      <w:r>
        <w:t>9. Required disclaimer wording</w:t>
      </w:r>
    </w:p>
    <w:tbl>
      <w:tblPr>
        <w:tblStyle w:val="TableGrid"/>
        <w:tblW w:type="auto" w:w="0"/>
        <w:jc w:val="center"/>
        <w:tblLayout w:type="autofit"/>
        <w:tblLook w:firstColumn="1" w:firstRow="1" w:lastColumn="0" w:lastRow="0" w:noHBand="0" w:noVBand="1" w:val="04A0"/>
      </w:tblPr>
      <w:tblGrid>
        <w:gridCol w:w="10368"/>
      </w:tblGrid>
      <w:tr>
        <w:tc>
          <w:tcPr>
            <w:tcW w:type="dxa" w:w="10368"/>
            <w:shd w:fill="FFF2CC"/>
            <w:vAlign w:val="top"/>
          </w:tcPr>
          <w:p>
            <w:r>
              <w:rPr>
                <w:sz w:val="18"/>
              </w:rPr>
            </w:r>
            <w:r>
              <w:rPr>
                <w:b/>
                <w:color w:val="9C6500"/>
                <w:sz w:val="18"/>
              </w:rPr>
              <w:t>Primary disclaimer</w:t>
              <w:br/>
            </w:r>
            <w:r>
              <w:rPr>
                <w:sz w:val="18"/>
              </w:rPr>
              <w:t>Veteran Connect helps organise information and prepare draft documents for review. It does not provide legal advice, medical advice, financial advice, a DVA decision, a compensation estimate, or a guarantee of claim success. Any draft wording generated by the app must be reviewed carefully before use. Medical information should be checked with a qualified health professional. Claim strategy or entitlement questions should be discussed with an appropriately qualified advocate, lawyer, or DVA.</w:t>
            </w:r>
          </w:p>
        </w:tc>
      </w:tr>
    </w:tbl>
    <w:p/>
    <w:tbl>
      <w:tblPr>
        <w:tblStyle w:val="TableGrid"/>
        <w:tblW w:type="auto" w:w="0"/>
        <w:jc w:val="center"/>
        <w:tblLayout w:type="autofit"/>
        <w:tblLook w:firstColumn="1" w:firstRow="1" w:lastColumn="0" w:lastRow="0" w:noHBand="0" w:noVBand="1" w:val="04A0"/>
      </w:tblPr>
      <w:tblGrid>
        <w:gridCol w:w="10368"/>
      </w:tblGrid>
      <w:tr>
        <w:tc>
          <w:tcPr>
            <w:tcW w:type="dxa" w:w="10368"/>
            <w:shd w:fill="FCE4D6"/>
            <w:vAlign w:val="top"/>
          </w:tcPr>
          <w:p>
            <w:r>
              <w:rPr>
                <w:sz w:val="18"/>
              </w:rPr>
            </w:r>
            <w:r>
              <w:rPr>
                <w:b/>
                <w:color w:val="9C6500"/>
                <w:sz w:val="18"/>
              </w:rPr>
              <w:t>AI output warning</w:t>
              <w:br/>
            </w:r>
            <w:r>
              <w:rPr>
                <w:sz w:val="18"/>
              </w:rPr>
              <w:t>Draft only. Review carefully before use. This is not legal, medical, financial, or DVA decision advice.</w:t>
            </w:r>
          </w:p>
        </w:tc>
      </w:tr>
    </w:tbl>
    <w:p/>
    <w:tbl>
      <w:tblPr>
        <w:tblStyle w:val="TableGrid"/>
        <w:tblW w:type="auto" w:w="0"/>
        <w:jc w:val="center"/>
        <w:tblLayout w:type="autofit"/>
        <w:tblLook w:firstColumn="1" w:firstRow="1" w:lastColumn="0" w:lastRow="0" w:noHBand="0" w:noVBand="1" w:val="04A0"/>
      </w:tblPr>
      <w:tblGrid>
        <w:gridCol w:w="10368"/>
      </w:tblGrid>
      <w:tr>
        <w:tc>
          <w:tcPr>
            <w:tcW w:type="dxa" w:w="10368"/>
            <w:shd w:fill="FCE4D6"/>
            <w:vAlign w:val="top"/>
          </w:tcPr>
          <w:p>
            <w:r>
              <w:rPr>
                <w:sz w:val="18"/>
              </w:rPr>
            </w:r>
            <w:r>
              <w:rPr>
                <w:b/>
                <w:color w:val="9C6500"/>
                <w:sz w:val="18"/>
              </w:rPr>
              <w:t>Doctor-facing warning</w:t>
              <w:br/>
            </w:r>
            <w:r>
              <w:rPr>
                <w:sz w:val="18"/>
              </w:rPr>
              <w:t>This document is intended to help organise clinical information for DVA permanent impairment claim preparation. It does not ask the doctor to provide legal advice or make a DVA decision.</w:t>
            </w:r>
          </w:p>
        </w:tc>
      </w:tr>
    </w:tbl>
    <w:p/>
    <w:p>
      <w:pPr>
        <w:pStyle w:val="Heading1"/>
      </w:pPr>
      <w:r>
        <w:t>10. Core data objects</w:t>
      </w:r>
    </w:p>
    <w:p>
      <w:pPr>
        <w:pStyle w:val="ListBullet"/>
      </w:pPr>
      <w:r>
        <w:t>User</w:t>
      </w:r>
    </w:p>
    <w:p>
      <w:pPr>
        <w:pStyle w:val="ListBullet"/>
      </w:pPr>
      <w:r>
        <w:t>Claim workspace</w:t>
      </w:r>
    </w:p>
    <w:p>
      <w:pPr>
        <w:pStyle w:val="ListBullet"/>
      </w:pPr>
      <w:r>
        <w:t>Claim scenario</w:t>
      </w:r>
    </w:p>
    <w:p>
      <w:pPr>
        <w:pStyle w:val="ListBullet"/>
      </w:pPr>
      <w:r>
        <w:t>Condition</w:t>
      </w:r>
    </w:p>
    <w:p>
      <w:pPr>
        <w:pStyle w:val="ListBullet"/>
      </w:pPr>
      <w:r>
        <w:t>Accepted condition history</w:t>
      </w:r>
    </w:p>
    <w:p>
      <w:pPr>
        <w:pStyle w:val="ListBullet"/>
      </w:pPr>
      <w:r>
        <w:t>Question response</w:t>
      </w:r>
    </w:p>
    <w:p>
      <w:pPr>
        <w:pStyle w:val="ListBullet"/>
      </w:pPr>
      <w:r>
        <w:t>Evidence item</w:t>
      </w:r>
    </w:p>
    <w:p>
      <w:pPr>
        <w:pStyle w:val="ListBullet"/>
      </w:pPr>
      <w:r>
        <w:t>Evidence gap</w:t>
      </w:r>
    </w:p>
    <w:p>
      <w:pPr>
        <w:pStyle w:val="ListBullet"/>
      </w:pPr>
      <w:r>
        <w:t>AI draft</w:t>
      </w:r>
    </w:p>
    <w:p>
      <w:pPr>
        <w:pStyle w:val="ListBullet"/>
      </w:pPr>
      <w:r>
        <w:t>Generated document</w:t>
      </w:r>
    </w:p>
    <w:p>
      <w:pPr>
        <w:pStyle w:val="ListBullet"/>
      </w:pPr>
      <w:r>
        <w:t>Audit event</w:t>
      </w:r>
    </w:p>
    <w:p>
      <w:r>
        <w:t>The key stored values for the post-2026 pathway are:</w:t>
      </w:r>
    </w:p>
    <w:tbl>
      <w:tblPr>
        <w:tblStyle w:val="TableGrid"/>
        <w:tblW w:type="auto" w:w="0"/>
        <w:jc w:val="center"/>
        <w:tblLayout w:type="autofit"/>
        <w:tblLook w:firstColumn="1" w:firstRow="1" w:lastColumn="0" w:lastRow="0" w:noHBand="0" w:noVBand="1" w:val="04A0"/>
      </w:tblPr>
      <w:tblGrid>
        <w:gridCol w:w="10368"/>
      </w:tblGrid>
      <w:tr>
        <w:tc>
          <w:tcPr>
            <w:tcW w:type="dxa" w:w="10368"/>
            <w:shd w:fill="D9EAF7"/>
            <w:vAlign w:val="top"/>
          </w:tcPr>
          <w:p>
            <w:r>
              <w:rPr>
                <w:sz w:val="18"/>
              </w:rPr>
            </w:r>
            <w:r>
              <w:rPr>
                <w:b/>
                <w:color w:val="9C6500"/>
                <w:sz w:val="18"/>
              </w:rPr>
              <w:t>Framework values</w:t>
              <w:br/>
            </w:r>
            <w:r>
              <w:rPr>
                <w:sz w:val="18"/>
              </w:rPr>
              <w:t>claim_framework = IMPROVED_MRCA_POST_2026</w:t>
              <w:br/>
              <w:br/>
              <w:t>claim_scenario = NEW_CONDITION | WORSENING_EXISTING_CONDITION | NEW_PLUS_EXISTING | EVIDENCE_PREP_ONLY | UNSURE</w:t>
            </w:r>
          </w:p>
        </w:tc>
      </w:tr>
    </w:tbl>
    <w:p/>
    <w:p>
      <w:pPr>
        <w:pStyle w:val="Heading1"/>
      </w:pPr>
      <w:r>
        <w:t>11. Phase 1 acceptance criteria</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Pr>
          <w:p>
            <w:r>
              <w:rPr>
                <w:b/>
                <w:color w:val="FFFFFF"/>
                <w:sz w:val="18"/>
              </w:rPr>
              <w:t>Acceptance item</w:t>
            </w:r>
          </w:p>
        </w:tc>
        <w:tc>
          <w:tcPr>
            <w:tcW w:type="dxa" w:w="5184"/>
            <w:shd w:fill="1F4E79"/>
            <w:vAlign w:val="top"/>
          </w:tcPr>
          <w:p>
            <w:r>
              <w:rPr>
                <w:b/>
                <w:color w:val="FFFFFF"/>
                <w:sz w:val="18"/>
              </w:rPr>
              <w:t>Reason</w:t>
            </w:r>
          </w:p>
        </w:tc>
      </w:tr>
      <w:tr>
        <w:tc>
          <w:tcPr>
            <w:tcW w:type="dxa" w:w="5184"/>
            <w:vAlign w:val="top"/>
          </w:tcPr>
          <w:p>
            <w:r>
              <w:rPr>
                <w:sz w:val="18"/>
              </w:rPr>
              <w:t>Clear product definition agreed</w:t>
            </w:r>
          </w:p>
        </w:tc>
        <w:tc>
          <w:tcPr>
            <w:tcW w:type="dxa" w:w="5184"/>
            <w:vAlign w:val="top"/>
          </w:tcPr>
          <w:p>
            <w:r>
              <w:rPr>
                <w:sz w:val="18"/>
              </w:rPr>
              <w:t>Required before build Phase 2</w:t>
            </w:r>
          </w:p>
        </w:tc>
      </w:tr>
      <w:tr>
        <w:tc>
          <w:tcPr>
            <w:tcW w:type="dxa" w:w="5184"/>
            <w:vAlign w:val="top"/>
          </w:tcPr>
          <w:p>
            <w:r>
              <w:rPr>
                <w:sz w:val="18"/>
              </w:rPr>
              <w:t>MVP inclusions locked</w:t>
            </w:r>
          </w:p>
        </w:tc>
        <w:tc>
          <w:tcPr>
            <w:tcW w:type="dxa" w:w="5184"/>
            <w:vAlign w:val="top"/>
          </w:tcPr>
          <w:p>
            <w:r>
              <w:rPr>
                <w:sz w:val="18"/>
              </w:rPr>
              <w:t>Required before task breakdown</w:t>
            </w:r>
          </w:p>
        </w:tc>
      </w:tr>
      <w:tr>
        <w:tc>
          <w:tcPr>
            <w:tcW w:type="dxa" w:w="5184"/>
            <w:vAlign w:val="top"/>
          </w:tcPr>
          <w:p>
            <w:r>
              <w:rPr>
                <w:sz w:val="18"/>
              </w:rPr>
              <w:t>MVP exclusions documented</w:t>
            </w:r>
          </w:p>
        </w:tc>
        <w:tc>
          <w:tcPr>
            <w:tcW w:type="dxa" w:w="5184"/>
            <w:vAlign w:val="top"/>
          </w:tcPr>
          <w:p>
            <w:r>
              <w:rPr>
                <w:sz w:val="18"/>
              </w:rPr>
              <w:t>Required to control product risk</w:t>
            </w:r>
          </w:p>
        </w:tc>
      </w:tr>
      <w:tr>
        <w:tc>
          <w:tcPr>
            <w:tcW w:type="dxa" w:w="5184"/>
            <w:vAlign w:val="top"/>
          </w:tcPr>
          <w:p>
            <w:r>
              <w:rPr>
                <w:sz w:val="18"/>
              </w:rPr>
              <w:t>Post-2026 scenarios documented</w:t>
            </w:r>
          </w:p>
        </w:tc>
        <w:tc>
          <w:tcPr>
            <w:tcW w:type="dxa" w:w="5184"/>
            <w:vAlign w:val="top"/>
          </w:tcPr>
          <w:p>
            <w:r>
              <w:rPr>
                <w:sz w:val="18"/>
              </w:rPr>
              <w:t>Required for database and UI design</w:t>
            </w:r>
          </w:p>
        </w:tc>
      </w:tr>
      <w:tr>
        <w:tc>
          <w:tcPr>
            <w:tcW w:type="dxa" w:w="5184"/>
            <w:vAlign w:val="top"/>
          </w:tcPr>
          <w:p>
            <w:r>
              <w:rPr>
                <w:sz w:val="18"/>
              </w:rPr>
              <w:t>Disclaimer wording drafted</w:t>
            </w:r>
          </w:p>
        </w:tc>
        <w:tc>
          <w:tcPr>
            <w:tcW w:type="dxa" w:w="5184"/>
            <w:vAlign w:val="top"/>
          </w:tcPr>
          <w:p>
            <w:r>
              <w:rPr>
                <w:sz w:val="18"/>
              </w:rPr>
              <w:t>Required before onboarding screens</w:t>
            </w:r>
          </w:p>
        </w:tc>
      </w:tr>
      <w:tr>
        <w:tc>
          <w:tcPr>
            <w:tcW w:type="dxa" w:w="5184"/>
            <w:vAlign w:val="top"/>
          </w:tcPr>
          <w:p>
            <w:r>
              <w:rPr>
                <w:sz w:val="18"/>
              </w:rPr>
              <w:t>AI boundaries drafted</w:t>
            </w:r>
          </w:p>
        </w:tc>
        <w:tc>
          <w:tcPr>
            <w:tcW w:type="dxa" w:w="5184"/>
            <w:vAlign w:val="top"/>
          </w:tcPr>
          <w:p>
            <w:r>
              <w:rPr>
                <w:sz w:val="18"/>
              </w:rPr>
              <w:t>Required before AI design</w:t>
            </w:r>
          </w:p>
        </w:tc>
      </w:tr>
      <w:tr>
        <w:tc>
          <w:tcPr>
            <w:tcW w:type="dxa" w:w="5184"/>
            <w:vAlign w:val="top"/>
          </w:tcPr>
          <w:p>
            <w:r>
              <w:rPr>
                <w:sz w:val="18"/>
              </w:rPr>
              <w:t>First user journey documented</w:t>
            </w:r>
          </w:p>
        </w:tc>
        <w:tc>
          <w:tcPr>
            <w:tcW w:type="dxa" w:w="5184"/>
            <w:vAlign w:val="top"/>
          </w:tcPr>
          <w:p>
            <w:r>
              <w:rPr>
                <w:sz w:val="18"/>
              </w:rPr>
              <w:t>Required before wireframes</w:t>
            </w:r>
          </w:p>
        </w:tc>
      </w:tr>
      <w:tr>
        <w:tc>
          <w:tcPr>
            <w:tcW w:type="dxa" w:w="5184"/>
            <w:vAlign w:val="top"/>
          </w:tcPr>
          <w:p>
            <w:r>
              <w:rPr>
                <w:sz w:val="18"/>
              </w:rPr>
              <w:t>Core data objects documented</w:t>
            </w:r>
          </w:p>
        </w:tc>
        <w:tc>
          <w:tcPr>
            <w:tcW w:type="dxa" w:w="5184"/>
            <w:vAlign w:val="top"/>
          </w:tcPr>
          <w:p>
            <w:r>
              <w:rPr>
                <w:sz w:val="18"/>
              </w:rPr>
              <w:t>Required before schema design</w:t>
            </w:r>
          </w:p>
        </w:tc>
      </w:tr>
      <w:tr>
        <w:tc>
          <w:tcPr>
            <w:tcW w:type="dxa" w:w="5184"/>
            <w:vAlign w:val="top"/>
          </w:tcPr>
          <w:p>
            <w:r>
              <w:rPr>
                <w:sz w:val="18"/>
              </w:rPr>
              <w:t>ProjectLibre Phase 1 tasks updated</w:t>
            </w:r>
          </w:p>
        </w:tc>
        <w:tc>
          <w:tcPr>
            <w:tcW w:type="dxa" w:w="5184"/>
            <w:vAlign w:val="top"/>
          </w:tcPr>
          <w:p>
            <w:r>
              <w:rPr>
                <w:sz w:val="18"/>
              </w:rPr>
              <w:t>Required for roadmap tracking</w:t>
            </w:r>
          </w:p>
        </w:tc>
      </w:tr>
    </w:tbl>
    <w:p>
      <w:pPr>
        <w:pStyle w:val="Heading1"/>
      </w:pPr>
      <w:r>
        <w:t>12. Build handoff notes</w:t>
      </w:r>
    </w:p>
    <w:p>
      <w:pPr>
        <w:pStyle w:val="ListBullet"/>
      </w:pPr>
      <w:r>
        <w:t>Use this document as the Phase 1 source-of-truth until it is replaced by versioned product requirements.</w:t>
      </w:r>
    </w:p>
    <w:p>
      <w:pPr>
        <w:pStyle w:val="ListBullet"/>
      </w:pPr>
      <w:r>
        <w:t>Do not add scoring, compensation estimation or outcome prediction during MVP build without a separate compliance review.</w:t>
      </w:r>
    </w:p>
    <w:p>
      <w:pPr>
        <w:pStyle w:val="ListBullet"/>
      </w:pPr>
      <w:r>
        <w:t>Use the ProjectLibre CSV in this package to update the project plan with Phase 1 subtasks.</w:t>
      </w:r>
    </w:p>
    <w:p>
      <w:pPr>
        <w:pStyle w:val="ListBullet"/>
      </w:pPr>
      <w:r>
        <w:t>Before public release, re-check DVA and legislative sources because the post-1 July 2026 operating guidance may change.</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Veteran Connect - Phase 1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