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80" w:after="0"/>
        <w:rPr/>
      </w:pPr>
      <w:r>
        <w:rPr/>
        <w:t>Поиск сигналов ГНСС при холодном старте</w:t>
      </w:r>
    </w:p>
    <w:p>
      <w:pPr>
        <w:pStyle w:val="Style19"/>
        <w:rPr>
          <w:i/>
          <w:i/>
          <w:color w:val="FF0000"/>
          <w:sz w:val="24"/>
          <w:szCs w:val="24"/>
        </w:rPr>
      </w:pPr>
      <w:r>
        <w:rPr>
          <w:i/>
          <w:color w:val="FF0000"/>
          <w:sz w:val="24"/>
          <w:szCs w:val="24"/>
        </w:rPr>
        <w:t>При переходе на конкретику в части МНП КН указать, что это МНП КН разработки фирмы НАВИС.</w:t>
      </w:r>
    </w:p>
    <w:p>
      <w:pPr>
        <w:pStyle w:val="2"/>
        <w:rPr/>
      </w:pPr>
      <w:r>
        <w:rPr/>
        <w:t>Продолжительность поиска сигналов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>Продолжительность поиска сигналов зависит от времени анализа в каждой точке области поиска, количества используемых средств поиска, алгоритма поиска.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>В рассматриваемых МНП КН разработки фирмы АО КБ НАВИС для поиска могут использоваться средства каналов корреляционной обработки (ККО) и блоки быстрого поиска (ББП).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>Каждый ККО может обрабатывать все заданные сигналы и имеет в своем составе 3 коррелятора. Общее количество используемых ККО составляет 96.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 xml:space="preserve">Каждый ББП является специализированным блоком для ускорения поиска сигналов ГНСС. Он имеет в своем составе 1024 коррелятора, разнесенных по задержке на половину элемента ДК. ББП автоматически работает на одной частотной позиции. По результатам обработки сигнала с заданным временем додетекторного и некогерентного накопления на одном шаге по задержке ББП фиксирует положение одного максимума (частота и задержка) и накопление в этой точке. Если на другой позиции по частоте и/или задержке максимум превышает ранее зафиксированное значение, то он заменяет ранее запомненные параметры. При обнаружении сигнала в результате анализа всей частотно-временной области определяется один максимум, который и передается для дальнейшей работы в ККО. Общее количество используемых ББП составляет 4. 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>Вследствие большого преимущества в количестве анализаторов у ББП для поиска при холодном старте используется именно он.</w:t>
      </w:r>
    </w:p>
    <w:p>
      <w:pPr>
        <w:pStyle w:val="3"/>
        <w:rPr/>
      </w:pPr>
      <w:r>
        <w:rPr/>
        <w:t xml:space="preserve">Поиск сигналов при использовании максимума правдоподобия 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 xml:space="preserve">При таком подходе выполняется анализ всей области поиска, а затем принимается решение об обнаружении сигнала и его положении по частоте и задержке. Сигнал считается обнаруженным, если накопления результатов корреляции в какой-либо точке превысили установленный порог обнаружения. При нескольких точках превышения выбирается точка с максимальным накоплением. Обнаруженный сигнал передается в ККО для дальнейшей работы по нему. </w:t>
      </w:r>
    </w:p>
    <w:p>
      <w:pPr>
        <w:pStyle w:val="Style19"/>
        <w:suppressAutoHyphens w:val="false"/>
        <w:rPr>
          <w:sz w:val="24"/>
          <w:szCs w:val="24"/>
        </w:rPr>
      </w:pPr>
      <w:r>
        <w:rPr>
          <w:sz w:val="24"/>
          <w:szCs w:val="24"/>
        </w:rPr>
        <w:t xml:space="preserve">Для обнаружения сигналов с энергопотенциалом более 32 дБГц принято время некогерентного накопления 10 мс при времени додетекторного накопления 1 мс. Оценка продолжительности анализа заданной частотно-временной области для рабочих сигналов приведена в Табл … Оценка не учитывает накладные расходы времени на программную поддержку перехода по частотным позициям. </w:t>
      </w:r>
      <w:r>
        <w:rPr>
          <w:color w:val="000000"/>
          <w:sz w:val="24"/>
          <w:szCs w:val="24"/>
          <w:highlight w:val="yellow"/>
        </w:rPr>
        <w:t>Сигналы выставлены в порядке очередности внутри системы . Время = N_f * N_t * Тнк / N_corr, N_f — кол-во шагов по частоте, N_t — кол-во шагов по задержке, N_corr — количество корреляторов в составе одного ББП.</w:t>
      </w:r>
    </w:p>
    <w:p>
      <w:pPr>
        <w:pStyle w:val="Style19"/>
        <w:keepNext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</w:r>
    </w:p>
    <w:p>
      <w:pPr>
        <w:pStyle w:val="Style19"/>
        <w:keepNext/>
        <w:rPr/>
      </w:pPr>
      <w:r>
        <w:rPr>
          <w:sz w:val="24"/>
          <w:szCs w:val="24"/>
        </w:rPr>
        <w:t>Табл… Продолжительность анализа заданной частотно-временной области различных сигналов ГНСС</w:t>
      </w:r>
    </w:p>
    <w:tbl>
      <w:tblPr>
        <w:tblStyle w:val="af2"/>
        <w:tblW w:w="945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25"/>
        <w:gridCol w:w="1418"/>
        <w:gridCol w:w="1701"/>
        <w:gridCol w:w="1418"/>
        <w:gridCol w:w="2"/>
        <w:gridCol w:w="1841"/>
        <w:gridCol w:w="2"/>
        <w:gridCol w:w="1543"/>
      </w:tblGrid>
      <w:tr>
        <w:trPr>
          <w:tblHeader w:val="true"/>
          <w:cantSplit w:val="true"/>
        </w:trPr>
        <w:tc>
          <w:tcPr>
            <w:tcW w:w="1525" w:type="dxa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b/>
                <w:sz w:val="24"/>
                <w:szCs w:val="24"/>
                <w:lang w:eastAsia="ru-RU"/>
              </w:rPr>
              <w:t>ГНСС</w:t>
            </w:r>
          </w:p>
        </w:tc>
        <w:tc>
          <w:tcPr>
            <w:tcW w:w="1418" w:type="dxa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b/>
                <w:sz w:val="24"/>
                <w:szCs w:val="24"/>
                <w:lang w:eastAsia="ru-RU"/>
              </w:rPr>
              <w:t>Сигнал</w:t>
            </w:r>
          </w:p>
        </w:tc>
        <w:tc>
          <w:tcPr>
            <w:tcW w:w="3119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eastAsia="ru-RU"/>
              </w:rPr>
              <w:t xml:space="preserve">Количество шагов ББП при </w:t>
            </w:r>
          </w:p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eastAsia="ru-RU"/>
              </w:rPr>
              <w:t>анализе</w:t>
            </w:r>
          </w:p>
        </w:tc>
        <w:tc>
          <w:tcPr>
            <w:tcW w:w="1843" w:type="dxa"/>
            <w:gridSpan w:val="2"/>
            <w:tcBorders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ascii="Calibri" w:hAnsi="Calibri"/>
                <w:b/>
                <w:color w:val="000000"/>
                <w:sz w:val="24"/>
                <w:szCs w:val="24"/>
                <w:lang w:eastAsia="ru-RU"/>
              </w:rPr>
              <w:t>Время поиска сигнала одного НКА, с</w:t>
            </w:r>
          </w:p>
        </w:tc>
        <w:tc>
          <w:tcPr>
            <w:tcW w:w="1545" w:type="dxa"/>
            <w:gridSpan w:val="2"/>
            <w:tcBorders>
              <w:bottom w:val="nil"/>
              <w:insideH w:val="nil"/>
            </w:tcBorders>
            <w:shd w:fill="auto" w:val="clea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rFonts w:ascii="Calibri" w:hAnsi="Calibri" w:eastAsia="Calibri"/>
                <w:b/>
                <w:b/>
                <w:color w:val="FF0000"/>
                <w:sz w:val="24"/>
                <w:szCs w:val="24"/>
                <w:lang w:eastAsia="ru-RU"/>
              </w:rPr>
            </w:pPr>
            <w:r>
              <w:rPr>
                <w:rFonts w:eastAsia="Calibri" w:ascii="Calibri" w:hAnsi="Calibri"/>
                <w:b/>
                <w:color w:val="000000"/>
                <w:sz w:val="24"/>
                <w:szCs w:val="24"/>
                <w:lang w:eastAsia="ru-RU"/>
              </w:rPr>
              <w:t>Время поиска сигналов всех НКА, с</w:t>
            </w:r>
          </w:p>
        </w:tc>
      </w:tr>
      <w:tr>
        <w:trPr>
          <w:tblHeader w:val="true"/>
          <w:cantSplit w:val="true"/>
        </w:trPr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418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keepNext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eastAsia="ru-RU"/>
              </w:rPr>
              <w:t>По частоте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sz w:val="24"/>
                <w:szCs w:val="24"/>
              </w:rPr>
            </w:pPr>
            <w:r>
              <w:rPr>
                <w:rFonts w:eastAsia="Calibri" w:ascii="Calibri" w:hAnsi="Calibri"/>
                <w:b/>
                <w:sz w:val="24"/>
                <w:szCs w:val="24"/>
                <w:lang w:eastAsia="ru-RU"/>
              </w:rPr>
              <w:t>По задержке</w:t>
            </w:r>
          </w:p>
        </w:tc>
        <w:tc>
          <w:tcPr>
            <w:tcW w:w="1843" w:type="dxa"/>
            <w:gridSpan w:val="2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rFonts w:ascii="Calibri" w:hAnsi="Calibri" w:eastAsia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 w:ascii="Calibri" w:hAnsi="Calibri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1543" w:type="dxa"/>
            <w:tcBorders>
              <w:top w:val="nil"/>
            </w:tcBorders>
            <w:shd w:fill="auto" w:val="clear"/>
          </w:tcPr>
          <w:p>
            <w:pPr>
              <w:pStyle w:val="Style19"/>
              <w:keepNext/>
              <w:suppressAutoHyphens w:val="false"/>
              <w:spacing w:lineRule="auto" w:line="240"/>
              <w:ind w:hanging="0"/>
              <w:jc w:val="center"/>
              <w:rPr>
                <w:rFonts w:ascii="Calibri" w:hAnsi="Calibri" w:eastAsia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Calibri" w:ascii="Calibri" w:hAnsi="Calibri"/>
                <w:color w:val="000000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eastAsia="ru-RU"/>
              </w:rPr>
              <w:t>ГЛОНАСС</w:t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L2OF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178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1022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1,78</w:t>
            </w:r>
          </w:p>
        </w:tc>
        <w:tc>
          <w:tcPr>
            <w:tcW w:w="1543" w:type="dxa"/>
            <w:tcBorders/>
            <w:shd w:fill="auto" w:val="clea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24,87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L1OF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220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1022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30,74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L2OCd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178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4092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7,11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170,71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L1OCd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219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4092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8,75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210,03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L2OCp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178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32736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56,90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1365,71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L1OCp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219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32736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70,01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1680,28</w:t>
            </w:r>
          </w:p>
        </w:tc>
      </w:tr>
      <w:tr>
        <w:trPr>
          <w:cantSplit w:val="true"/>
        </w:trPr>
        <w:tc>
          <w:tcPr>
            <w:tcW w:w="15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4"/>
                <w:szCs w:val="20"/>
                <w:lang w:val="en-US" w:eastAsia="ru-RU"/>
              </w:rPr>
            </w:pPr>
            <w:r>
              <w:rPr>
                <w:rFonts w:eastAsia="Calibri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GPS</w:t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L1_CA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215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4,30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137,47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L2CMd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174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40920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69,53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2225,03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L2CLp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174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3069000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5214,90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166876,88</w:t>
            </w:r>
          </w:p>
        </w:tc>
      </w:tr>
      <w:tr>
        <w:trPr>
          <w:cantSplit w:val="true"/>
        </w:trPr>
        <w:tc>
          <w:tcPr>
            <w:tcW w:w="15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4"/>
                <w:szCs w:val="20"/>
                <w:lang w:val="en-US" w:eastAsia="ru-RU"/>
              </w:rPr>
            </w:pPr>
            <w:r>
              <w:rPr>
                <w:rFonts w:eastAsia="Calibri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0"/>
                <w:highlight w:val="white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GALILEO</w:t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L3_E5Bd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158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20460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31,57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852,37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L3_E5Bp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158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20460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31,57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852,37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L1_E1Bd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206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16368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32,93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889,05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L1_E1Cp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206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16368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22"/>
              <w:spacing w:lineRule="auto" w:line="240"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32,93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22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highlight w:val="white"/>
                <w:lang w:eastAsia="ru-RU"/>
              </w:rPr>
              <w:t>889,05</w:t>
            </w:r>
          </w:p>
        </w:tc>
      </w:tr>
      <w:tr>
        <w:trPr>
          <w:cantSplit w:val="true"/>
        </w:trPr>
        <w:tc>
          <w:tcPr>
            <w:tcW w:w="1525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Calibri"/>
                <w:sz w:val="24"/>
                <w:szCs w:val="20"/>
                <w:lang w:val="en-US" w:eastAsia="ru-RU"/>
              </w:rPr>
            </w:pPr>
            <w:r>
              <w:rPr>
                <w:rFonts w:eastAsia="Calibri" w:ascii="Times New Roman" w:hAnsi="Times New Roman"/>
                <w:sz w:val="24"/>
                <w:szCs w:val="20"/>
                <w:lang w:val="en-US" w:eastAsia="ru-RU"/>
              </w:rPr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0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0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0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0"/>
                <w:highlight w:val="white"/>
                <w:lang w:eastAsia="ru-RU"/>
              </w:rPr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0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0"/>
                <w:highlight w:val="white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  <w:bottom w:val="nil"/>
              <w:insideH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BEIDOU</w:t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L3_B2I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162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4092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6,47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174,79</w:t>
            </w:r>
          </w:p>
        </w:tc>
      </w:tr>
      <w:tr>
        <w:trPr>
          <w:cantSplit w:val="true"/>
        </w:trPr>
        <w:tc>
          <w:tcPr>
            <w:tcW w:w="1525" w:type="dxa"/>
            <w:tcBorders>
              <w:top w:val="nil"/>
            </w:tcBorders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/>
                <w:sz w:val="20"/>
                <w:szCs w:val="20"/>
                <w:lang w:val="en-US" w:eastAsia="ru-RU"/>
              </w:rPr>
            </w:pPr>
            <w:r>
              <w:rPr>
                <w:rFonts w:eastAsia="Calibri"/>
                <w:sz w:val="20"/>
                <w:szCs w:val="20"/>
                <w:lang w:val="en-US" w:eastAsia="ru-RU"/>
              </w:rPr>
            </w:r>
          </w:p>
        </w:tc>
        <w:tc>
          <w:tcPr>
            <w:tcW w:w="1418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L1</w:t>
            </w:r>
            <w:r>
              <w:rPr>
                <w:rFonts w:eastAsia="Calibri" w:ascii="Times New Roman" w:hAnsi="Times New Roman"/>
                <w:sz w:val="24"/>
                <w:szCs w:val="24"/>
                <w:lang w:eastAsia="ru-RU"/>
              </w:rPr>
              <w:t>_</w:t>
            </w:r>
            <w:r>
              <w:rPr>
                <w:rFonts w:eastAsia="Calibri" w:ascii="Times New Roman" w:hAnsi="Times New Roman"/>
                <w:sz w:val="24"/>
                <w:szCs w:val="24"/>
                <w:lang w:val="en-US" w:eastAsia="ru-RU"/>
              </w:rPr>
              <w:t>B1I</w:t>
            </w:r>
          </w:p>
        </w:tc>
        <w:tc>
          <w:tcPr>
            <w:tcW w:w="1701" w:type="dxa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209</w:t>
            </w:r>
          </w:p>
        </w:tc>
        <w:tc>
          <w:tcPr>
            <w:tcW w:w="1420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4092</w:t>
            </w:r>
          </w:p>
        </w:tc>
        <w:tc>
          <w:tcPr>
            <w:tcW w:w="1843" w:type="dxa"/>
            <w:gridSpan w:val="2"/>
            <w:tcBorders/>
            <w:shd w:color="auto" w:fill="auto" w:val="clear"/>
            <w:tcMar>
              <w:left w:w="98" w:type="dxa"/>
            </w:tcMar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8,35</w:t>
            </w:r>
          </w:p>
        </w:tc>
        <w:tc>
          <w:tcPr>
            <w:tcW w:w="1543" w:type="dxa"/>
            <w:tcBorders/>
            <w:shd w:fill="auto" w:val="clear"/>
            <w:vAlign w:val="center"/>
          </w:tcPr>
          <w:p>
            <w:pPr>
              <w:pStyle w:val="Style19"/>
              <w:suppressAutoHyphens w:val="false"/>
              <w:spacing w:lineRule="auto" w:line="240"/>
              <w:ind w:hanging="0"/>
              <w:jc w:val="center"/>
              <w:rPr>
                <w:rFonts w:ascii="Times New Roman" w:hAnsi="Times New Roman" w:eastAsia="Calibri"/>
                <w:sz w:val="24"/>
                <w:szCs w:val="24"/>
                <w:highlight w:val="white"/>
                <w:lang w:eastAsia="ru-RU"/>
              </w:rPr>
            </w:pPr>
            <w:r>
              <w:rPr>
                <w:rFonts w:eastAsia="Calibri"/>
                <w:sz w:val="24"/>
                <w:szCs w:val="24"/>
                <w:highlight w:val="white"/>
                <w:lang w:eastAsia="ru-RU"/>
              </w:rPr>
              <w:t>225,50</w:t>
            </w:r>
          </w:p>
        </w:tc>
      </w:tr>
    </w:tbl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>
          <w:i/>
          <w:i/>
          <w:color w:val="FF0000"/>
        </w:rPr>
      </w:pPr>
      <w:r>
        <w:rPr>
          <w:i/>
          <w:color w:val="FF0000"/>
        </w:rPr>
        <w:t xml:space="preserve">Данная таблица является </w:t>
      </w:r>
      <w:r>
        <w:rPr>
          <w:b/>
          <w:i/>
          <w:color w:val="FF0000"/>
        </w:rPr>
        <w:t>обоснованием</w:t>
      </w:r>
      <w:r>
        <w:rPr>
          <w:i/>
          <w:color w:val="FF0000"/>
        </w:rPr>
        <w:t xml:space="preserve"> необходимости изменения алгоритма поиска сигналов для обеспечения приемлемого времени обнаружения. Полученные цифры сравним с требованиями ТЗ.</w:t>
      </w:r>
    </w:p>
    <w:p>
      <w:pPr>
        <w:pStyle w:val="4"/>
        <w:rPr/>
      </w:pPr>
      <w:r>
        <w:rPr/>
        <w:t>Параметры обнаружителя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Обнаружители рассчитываются на поиск сигнала заданного энергопотенциала с учетом потерь в тракте обработки при решении задачи обнаружения. Параметрами обнаружителя являются: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вероятность пропуска сигнала;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вероятность ложной тревоги.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Ложная тревога приводит к пропуску сигнала с дополнительными потерями времени, зависящими от структуры ЦИ, передаваемой в сигналах НКА ГНСС.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таблице приведены расчетные параметры обнаружителя. 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Потери складываются из: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потерь в АЦП (0,9 дБ);</w:t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>- потерь рассинхронизации по задержке (</w:t>
      </w:r>
      <w:r>
        <w:rPr>
          <w:rFonts w:ascii="Times New Roman" w:hAnsi="Times New Roman"/>
          <w:sz w:val="24"/>
          <w:szCs w:val="24"/>
        </w:rPr>
        <w:t>1,25</w:t>
      </w:r>
      <w:r>
        <w:rPr>
          <w:rFonts w:ascii="Times New Roman" w:hAnsi="Times New Roman"/>
          <w:sz w:val="24"/>
          <w:szCs w:val="24"/>
        </w:rPr>
        <w:t xml:space="preserve"> дБ – при шаге в 0,5 элемента ДК);</w:t>
      </w:r>
    </w:p>
    <w:p>
      <w:pPr>
        <w:pStyle w:val="Normal"/>
        <w:spacing w:lineRule="auto" w:line="240" w:before="0" w:after="0"/>
        <w:ind w:firstLine="709"/>
        <w:jc w:val="center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87215" cy="328485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215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Рис…</w:t>
      </w:r>
    </w:p>
    <w:p>
      <w:pPr>
        <w:pStyle w:val="Normal"/>
        <w:spacing w:lineRule="auto" w:line="240" w:before="0" w:after="0"/>
        <w:ind w:firstLine="709"/>
        <w:jc w:val="center"/>
        <w:rPr>
          <w:rFonts w:ascii="Times New Roman" w:hAnsi="Times New Roman"/>
          <w:sz w:val="24"/>
          <w:szCs w:val="24"/>
        </w:rPr>
      </w:pPr>
      <w:r>
        <w:rPr/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>- потерь рассинхронизации по частоте:</w:t>
      </w:r>
    </w:p>
    <w:p>
      <w:pPr>
        <w:pStyle w:val="Normal"/>
        <w:spacing w:lineRule="auto" w:line="240" w:before="0" w:after="0"/>
        <w:ind w:left="708" w:firstLine="709"/>
        <w:jc w:val="both"/>
        <w:rPr/>
      </w:pPr>
      <w:r>
        <w:rPr>
          <w:rFonts w:ascii="Times New Roman" w:hAnsi="Times New Roman"/>
          <w:sz w:val="24"/>
          <w:szCs w:val="24"/>
        </w:rPr>
        <w:t>- (</w:t>
      </w:r>
      <w:r>
        <w:rPr>
          <w:rFonts w:ascii="Times New Roman" w:hAnsi="Times New Roman"/>
          <w:sz w:val="24"/>
          <w:szCs w:val="24"/>
        </w:rPr>
        <w:t>0,91</w:t>
      </w:r>
      <w:r>
        <w:rPr>
          <w:rFonts w:ascii="Times New Roman" w:hAnsi="Times New Roman"/>
          <w:sz w:val="24"/>
          <w:szCs w:val="24"/>
        </w:rPr>
        <w:t xml:space="preserve"> дБ – при шаге по частоте в 0,5 кГц).</w:t>
      </w:r>
    </w:p>
    <w:p>
      <w:pPr>
        <w:pStyle w:val="Normal"/>
        <w:spacing w:lineRule="auto" w:line="240" w:before="0" w:after="0"/>
        <w:ind w:left="708" w:firstLine="709"/>
        <w:jc w:val="both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ascii="Times New Roman" w:hAnsi="Times New Roman"/>
          <w:sz w:val="24"/>
          <w:szCs w:val="24"/>
        </w:rPr>
        <w:t>- (</w:t>
      </w:r>
      <w:r>
        <w:rPr>
          <w:rFonts w:asciiTheme="minorHAnsi" w:eastAsiaTheme="minorHAnsi" w:hAnsiTheme="minorHAnsi" w:ascii="Times New Roman" w:hAnsi="Times New Roman"/>
          <w:sz w:val="24"/>
          <w:szCs w:val="24"/>
        </w:rPr>
        <w:t>2,42</w:t>
      </w:r>
      <w:r>
        <w:rPr>
          <w:rFonts w:asciiTheme="minorHAnsi" w:eastAsiaTheme="minorHAnsi" w:hAnsiTheme="minorHAnsi" w:ascii="Times New Roman" w:hAnsi="Times New Roman"/>
          <w:sz w:val="24"/>
          <w:szCs w:val="24"/>
        </w:rPr>
        <w:t xml:space="preserve"> дБ – при шаге по частоте в 0,8 кГц).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733925" cy="3543935"/>
            <wp:effectExtent l="0" t="0" r="0" b="0"/>
            <wp:wrapTopAndBottom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Рис..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sz w:val="24"/>
          <w:szCs w:val="24"/>
        </w:rPr>
        <w:t xml:space="preserve">Общие потери считаются равными </w:t>
      </w:r>
      <w:r>
        <w:rPr>
          <w:rFonts w:ascii="Times New Roman" w:hAnsi="Times New Roman"/>
          <w:sz w:val="24"/>
          <w:szCs w:val="24"/>
        </w:rPr>
        <w:t>4,57</w:t>
      </w:r>
      <w:r>
        <w:rPr>
          <w:rFonts w:ascii="Times New Roman" w:hAnsi="Times New Roman"/>
          <w:sz w:val="24"/>
          <w:szCs w:val="24"/>
        </w:rPr>
        <w:t xml:space="preserve"> дБ</w:t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Будем считать, что при мощности сигнала минус 160 дБВт энергопотенциал (ЭП) на входе МНП КН составляет 40 дБГц.</w:t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Style w:val="af2"/>
        <w:tblW w:w="9464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83"/>
        <w:gridCol w:w="885"/>
        <w:gridCol w:w="1166"/>
        <w:gridCol w:w="971"/>
        <w:gridCol w:w="1292"/>
        <w:gridCol w:w="1292"/>
        <w:gridCol w:w="1254"/>
        <w:gridCol w:w="1719"/>
      </w:tblGrid>
      <w:tr>
        <w:trPr>
          <w:tblHeader w:val="true"/>
          <w:cantSplit w:val="true"/>
        </w:trPr>
        <w:tc>
          <w:tcPr>
            <w:tcW w:w="883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Мощность сигнала, дБВт</w:t>
            </w:r>
          </w:p>
        </w:tc>
        <w:tc>
          <w:tcPr>
            <w:tcW w:w="885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ЭП, дБГц</w:t>
            </w:r>
          </w:p>
        </w:tc>
        <w:tc>
          <w:tcPr>
            <w:tcW w:w="1166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Тнк, мс</w:t>
            </w:r>
          </w:p>
        </w:tc>
        <w:tc>
          <w:tcPr>
            <w:tcW w:w="971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Порог</w:t>
            </w:r>
          </w:p>
        </w:tc>
        <w:tc>
          <w:tcPr>
            <w:tcW w:w="129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Вероятность пропуска</w:t>
            </w:r>
          </w:p>
        </w:tc>
        <w:tc>
          <w:tcPr>
            <w:tcW w:w="1292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Вероятность ложной тревоги</w:t>
            </w:r>
          </w:p>
        </w:tc>
        <w:tc>
          <w:tcPr>
            <w:tcW w:w="1254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Общая вероятность пропуска</w:t>
            </w:r>
          </w:p>
        </w:tc>
        <w:tc>
          <w:tcPr>
            <w:tcW w:w="1719" w:type="dxa"/>
            <w:tcBorders/>
            <w:shd w:color="auto"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Примечания</w:t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  <w:bottom w:val="nil"/>
              <w:insideH w:val="nil"/>
            </w:tcBorders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-155</w:t>
            </w:r>
          </w:p>
        </w:tc>
        <w:tc>
          <w:tcPr>
            <w:tcW w:w="885" w:type="dxa"/>
            <w:tcBorders>
              <w:top w:val="nil"/>
              <w:bottom w:val="nil"/>
              <w:insideH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166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71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  <w:bottom w:val="nil"/>
              <w:insideH w:val="nil"/>
            </w:tcBorders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85" w:type="dxa"/>
            <w:tcBorders>
              <w:top w:val="nil"/>
              <w:bottom w:val="nil"/>
              <w:insideH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66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71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</w:tcBorders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85" w:type="dxa"/>
            <w:tcBorders>
              <w:top w:val="nil"/>
            </w:tcBorders>
            <w:shd w:color="auto" w:fill="DAEEF3" w:themeFill="accent5" w:themeFillTint="33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66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71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DAEEF3" w:themeFill="accent5" w:themeFillTint="33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  <w:bottom w:val="nil"/>
              <w:insideH w:val="nil"/>
            </w:tcBorders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-160</w:t>
            </w:r>
          </w:p>
        </w:tc>
        <w:tc>
          <w:tcPr>
            <w:tcW w:w="885" w:type="dxa"/>
            <w:tcBorders>
              <w:top w:val="nil"/>
              <w:bottom w:val="nil"/>
              <w:insideH w:val="nil"/>
            </w:tcBorders>
            <w:shd w:color="auto" w:fill="B6DDE8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166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71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  <w:bottom w:val="nil"/>
              <w:insideH w:val="nil"/>
            </w:tcBorders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85" w:type="dxa"/>
            <w:tcBorders>
              <w:top w:val="nil"/>
              <w:bottom w:val="nil"/>
              <w:insideH w:val="nil"/>
            </w:tcBorders>
            <w:shd w:color="auto" w:fill="B6DDE8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66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71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</w:tcBorders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85" w:type="dxa"/>
            <w:tcBorders>
              <w:top w:val="nil"/>
            </w:tcBorders>
            <w:shd w:color="auto" w:fill="B6DDE8" w:themeFill="accent5" w:themeFillTint="66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66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71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B6DDE8" w:themeFill="accent5" w:themeFillTint="66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  <w:bottom w:val="nil"/>
              <w:insideH w:val="nil"/>
            </w:tcBorders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-165</w:t>
            </w:r>
          </w:p>
        </w:tc>
        <w:tc>
          <w:tcPr>
            <w:tcW w:w="885" w:type="dxa"/>
            <w:tcBorders>
              <w:top w:val="nil"/>
              <w:bottom w:val="nil"/>
              <w:insideH w:val="nil"/>
            </w:tcBorders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166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971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  <w:bottom w:val="nil"/>
              <w:insideH w:val="nil"/>
            </w:tcBorders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85" w:type="dxa"/>
            <w:tcBorders>
              <w:top w:val="nil"/>
              <w:bottom w:val="nil"/>
              <w:insideH w:val="nil"/>
            </w:tcBorders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66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971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883" w:type="dxa"/>
            <w:tcBorders>
              <w:top w:val="nil"/>
            </w:tcBorders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885" w:type="dxa"/>
            <w:tcBorders>
              <w:top w:val="nil"/>
            </w:tcBorders>
            <w:shd w:color="auto" w:fill="92CDDC" w:themeFill="accent5" w:themeFillTint="99" w:val="clear"/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66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</w:rPr>
            </w:pPr>
            <w:r>
              <w:rPr>
                <w:rFonts w:eastAsia="Calibri" w:ascii="Times New Roman" w:hAnsi="Times New Roman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971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92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254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  <w:tc>
          <w:tcPr>
            <w:tcW w:w="1719" w:type="dxa"/>
            <w:tcBorders/>
            <w:shd w:color="auto" w:fill="92CDDC" w:themeFill="accent5" w:themeFillTint="99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Calibri" w:hAnsi="Calibri" w:eastAsia="Calibri"/>
                <w:sz w:val="20"/>
                <w:szCs w:val="20"/>
                <w:lang w:eastAsia="ru-RU"/>
              </w:rPr>
            </w:pPr>
            <w:r>
              <w:rPr>
                <w:rFonts w:eastAsia="Calibri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firstLine="709"/>
        <w:jc w:val="both"/>
        <w:rPr/>
      </w:pPr>
      <w:r>
        <w:rPr>
          <w:rFonts w:ascii="Times New Roman" w:hAnsi="Times New Roman"/>
          <w:i/>
          <w:color w:val="FF0000"/>
          <w:sz w:val="24"/>
          <w:szCs w:val="24"/>
        </w:rPr>
        <w:t>Предлагаю рассчитать для Тнк=10 мс (используемый вариант). Инструмент сохранить для использования в дальнейших расчетах с различными цифрами</w:t>
      </w:r>
    </w:p>
    <w:sectPr>
      <w:headerReference w:type="default" r:id="rId4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87537001"/>
    </w:sdtPr>
    <w:sdtContent>
      <w:p>
        <w:pPr>
          <w:pStyle w:val="Style20"/>
          <w:jc w:val="right"/>
          <w:rPr/>
        </w:pPr>
        <w:r>
          <w:rPr/>
          <w:t>17.11.2020 Песков Никита</w:t>
          <w:tab/>
          <w:tab/>
        </w:r>
        <w:r>
          <w:rPr/>
          <w:fldChar w:fldCharType="begin"/>
        </w:r>
        <w:r>
          <w:instrText> PAGE 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968b3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Calibri" w:cs="Times New Roman" w:asciiTheme="minorHAnsi" w:eastAsiaTheme="minorHAnsi" w:hAnsiTheme="minorHAnsi"/>
      <w:color w:val="00000A"/>
      <w:sz w:val="22"/>
      <w:szCs w:val="22"/>
      <w:lang w:val="ru-RU" w:eastAsia="en-US" w:bidi="ar-SA"/>
    </w:rPr>
  </w:style>
  <w:style w:type="paragraph" w:styleId="1">
    <w:name w:val="Заголовок 1"/>
    <w:basedOn w:val="Normal"/>
    <w:link w:val="10"/>
    <w:uiPriority w:val="9"/>
    <w:qFormat/>
    <w:rsid w:val="00cb6b5e"/>
    <w:pPr>
      <w:keepNext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Заголовок 2"/>
    <w:basedOn w:val="Normal"/>
    <w:link w:val="20"/>
    <w:uiPriority w:val="9"/>
    <w:unhideWhenUsed/>
    <w:qFormat/>
    <w:rsid w:val="00cb6b5e"/>
    <w:pPr>
      <w:keepNext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Заголовок 3"/>
    <w:basedOn w:val="Normal"/>
    <w:link w:val="31"/>
    <w:uiPriority w:val="9"/>
    <w:unhideWhenUsed/>
    <w:qFormat/>
    <w:rsid w:val="006a2e1a"/>
    <w:pPr>
      <w:keepNext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Заголовок 4"/>
    <w:basedOn w:val="Normal"/>
    <w:link w:val="40"/>
    <w:uiPriority w:val="9"/>
    <w:unhideWhenUsed/>
    <w:qFormat/>
    <w:rsid w:val="00103654"/>
    <w:pPr>
      <w:keepNext/>
      <w:keepLines/>
      <w:spacing w:before="200" w:after="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31" w:customStyle="1">
    <w:name w:val="Заголовок 3 Знак1"/>
    <w:link w:val="3"/>
    <w:qFormat/>
    <w:rsid w:val="009a6d98"/>
    <w:rPr>
      <w:rFonts w:ascii="Times New Roman" w:hAnsi="Times New Roman"/>
      <w:sz w:val="28"/>
    </w:rPr>
  </w:style>
  <w:style w:type="character" w:styleId="32" w:customStyle="1">
    <w:name w:val="С_подзаголовок3 Знак"/>
    <w:link w:val="32"/>
    <w:qFormat/>
    <w:rsid w:val="00c968b3"/>
    <w:rPr>
      <w:rFonts w:ascii="Times New Roman" w:hAnsi="Times New Roman" w:eastAsia="Calibri" w:cs="Times New Roman"/>
      <w:b/>
      <w:sz w:val="28"/>
      <w:szCs w:val="24"/>
    </w:rPr>
  </w:style>
  <w:style w:type="character" w:styleId="Style10" w:customStyle="1">
    <w:name w:val="С_Текст_прямой Знак"/>
    <w:qFormat/>
    <w:rsid w:val="00c968b3"/>
    <w:rPr>
      <w:rFonts w:ascii="Times New Roman" w:hAnsi="Times New Roman" w:eastAsia="Calibri" w:cs="Times New Roman"/>
      <w:sz w:val="28"/>
    </w:rPr>
  </w:style>
  <w:style w:type="character" w:styleId="Style11" w:customStyle="1">
    <w:name w:val="Верхний колонтитул Знак"/>
    <w:basedOn w:val="DefaultParagraphFont"/>
    <w:uiPriority w:val="99"/>
    <w:qFormat/>
    <w:rsid w:val="0087192c"/>
    <w:rPr>
      <w:rFonts w:ascii="Calibri" w:hAnsi="Calibri" w:eastAsia="Calibri" w:cs="Times New Roman"/>
    </w:rPr>
  </w:style>
  <w:style w:type="character" w:styleId="Style12" w:customStyle="1">
    <w:name w:val="Нижний колонтитул Знак"/>
    <w:basedOn w:val="DefaultParagraphFont"/>
    <w:uiPriority w:val="99"/>
    <w:qFormat/>
    <w:rsid w:val="0087192c"/>
    <w:rPr>
      <w:rFonts w:ascii="Calibri" w:hAnsi="Calibri" w:eastAsia="Calibri" w:cs="Times New Roman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cb6b5e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cb6b5e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33" w:customStyle="1">
    <w:name w:val="Заголовок 3 Знак"/>
    <w:basedOn w:val="DefaultParagraphFont"/>
    <w:link w:val="30"/>
    <w:uiPriority w:val="9"/>
    <w:qFormat/>
    <w:rsid w:val="006a2e1a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103654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ListLabel1" w:customStyle="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2"/>
      <w:sz w:val="22"/>
      <w:u w:val="none"/>
      <w:vertAlign w:val="baseline"/>
      <w:em w:val="none"/>
    </w:rPr>
  </w:style>
  <w:style w:type="paragraph" w:styleId="Style13" w:customStyle="1">
    <w:name w:val="Заголовок"/>
    <w:basedOn w:val="Normal"/>
    <w:next w:val="Style14"/>
    <w:qFormat/>
    <w:pPr>
      <w:keepNext/>
      <w:spacing w:before="240" w:after="120"/>
    </w:pPr>
    <w:rPr>
      <w:rFonts w:ascii="Liberation Sans" w:hAnsi="Liberation Sans" w:eastAsia="Droid Sans Fallback" w:cs="unifont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unifont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unifont"/>
    </w:rPr>
  </w:style>
  <w:style w:type="paragraph" w:styleId="Style18">
    <w:name w:val="Заглавие"/>
    <w:basedOn w:val="Normal"/>
    <w:pPr>
      <w:suppressLineNumbers/>
      <w:spacing w:before="120" w:after="120"/>
    </w:pPr>
    <w:rPr>
      <w:rFonts w:cs="unifont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unifont"/>
    </w:rPr>
  </w:style>
  <w:style w:type="paragraph" w:styleId="34" w:customStyle="1">
    <w:name w:val="С_Список3"/>
    <w:link w:val="34"/>
    <w:qFormat/>
    <w:rsid w:val="009a6d98"/>
    <w:pPr>
      <w:widowControl w:val="false"/>
      <w:tabs>
        <w:tab w:val="left" w:pos="357" w:leader="none"/>
        <w:tab w:val="left" w:pos="709" w:leader="none"/>
        <w:tab w:val="left" w:pos="1066" w:leader="none"/>
        <w:tab w:val="left" w:pos="1440" w:leader="none"/>
        <w:tab w:val="left" w:pos="1797" w:leader="none"/>
        <w:tab w:val="left" w:pos="2155" w:leader="none"/>
      </w:tabs>
      <w:suppressAutoHyphens w:val="true"/>
      <w:bidi w:val="0"/>
      <w:spacing w:lineRule="auto" w:line="240"/>
      <w:jc w:val="both"/>
    </w:pPr>
    <w:rPr>
      <w:rFonts w:ascii="Times New Roman" w:hAnsi="Times New Roman" w:eastAsia="Calibri" w:cs="" w:cstheme="minorBidi" w:eastAsiaTheme="minorHAnsi"/>
      <w:color w:val="00000A"/>
      <w:sz w:val="28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9a6d98"/>
    <w:pPr>
      <w:spacing w:before="0" w:after="200"/>
      <w:ind w:left="720" w:hanging="0"/>
      <w:contextualSpacing/>
    </w:pPr>
    <w:rPr>
      <w:rFonts w:cs="" w:cstheme="minorBidi"/>
    </w:rPr>
  </w:style>
  <w:style w:type="paragraph" w:styleId="35" w:customStyle="1">
    <w:name w:val="С_подзаголовок3"/>
    <w:basedOn w:val="Normal"/>
    <w:link w:val="33"/>
    <w:qFormat/>
    <w:rsid w:val="00c968b3"/>
    <w:pPr>
      <w:keepNext/>
      <w:keepLines/>
      <w:suppressAutoHyphens w:val="true"/>
      <w:spacing w:before="120" w:after="0"/>
      <w:ind w:firstLine="709"/>
      <w:jc w:val="both"/>
    </w:pPr>
    <w:rPr>
      <w:rFonts w:ascii="Times New Roman" w:hAnsi="Times New Roman"/>
      <w:b/>
      <w:sz w:val="28"/>
      <w:szCs w:val="24"/>
    </w:rPr>
  </w:style>
  <w:style w:type="paragraph" w:styleId="Style19" w:customStyle="1">
    <w:name w:val="С_Текст_прямой"/>
    <w:basedOn w:val="Normal"/>
    <w:qFormat/>
    <w:rsid w:val="00c968b3"/>
    <w:pPr>
      <w:tabs>
        <w:tab w:val="left" w:pos="357" w:leader="none"/>
        <w:tab w:val="left" w:pos="709" w:leader="none"/>
        <w:tab w:val="left" w:pos="1066" w:leader="none"/>
        <w:tab w:val="left" w:pos="1440" w:leader="none"/>
      </w:tabs>
      <w:suppressAutoHyphens w:val="true"/>
      <w:spacing w:lineRule="auto" w:line="240" w:before="0" w:after="0"/>
      <w:ind w:firstLine="709"/>
      <w:jc w:val="both"/>
    </w:pPr>
    <w:rPr>
      <w:rFonts w:ascii="Times New Roman" w:hAnsi="Times New Roman"/>
      <w:sz w:val="28"/>
    </w:rPr>
  </w:style>
  <w:style w:type="paragraph" w:styleId="Style20">
    <w:name w:val="Верхний колонтитул"/>
    <w:basedOn w:val="Normal"/>
    <w:uiPriority w:val="99"/>
    <w:unhideWhenUsed/>
    <w:rsid w:val="0087192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1">
    <w:name w:val="Нижний колонтитул"/>
    <w:basedOn w:val="Normal"/>
    <w:uiPriority w:val="99"/>
    <w:unhideWhenUsed/>
    <w:rsid w:val="0087192c"/>
    <w:pPr>
      <w:tabs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aption">
    <w:name w:val="caption"/>
    <w:basedOn w:val="Normal"/>
    <w:qFormat/>
    <w:rsid w:val="00601e24"/>
    <w:pPr>
      <w:spacing w:lineRule="auto" w:line="240" w:before="120" w:after="120"/>
    </w:pPr>
    <w:rPr>
      <w:rFonts w:ascii="Times New Roman" w:hAnsi="Times New Roman" w:eastAsia="Times New Roman"/>
      <w:b/>
      <w:bCs/>
      <w:sz w:val="20"/>
      <w:szCs w:val="20"/>
      <w:lang w:eastAsia="ru-RU"/>
    </w:rPr>
  </w:style>
  <w:style w:type="paragraph" w:styleId="Style22" w:customStyle="1">
    <w:name w:val="Содержимое таблицы"/>
    <w:basedOn w:val="Normal"/>
    <w:qFormat/>
    <w:pPr/>
    <w:rPr/>
  </w:style>
  <w:style w:type="paragraph" w:styleId="Style23" w:customStyle="1">
    <w:name w:val="Заголовок таблицы"/>
    <w:basedOn w:val="Style22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1"/>
    <w:uiPriority w:val="59"/>
    <w:rsid w:val="00c968b3"/>
    <w:pPr>
      <w:spacing w:line="240" w:lineRule="auto"/>
    </w:pPr>
    <w:rPr>
      <w:lang w:eastAsia="ru-RU"/>
      <w:sz w:val="20"/>
      <w:szCs w:val="20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B77997-9DD5-481F-A645-0C17A2D3C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Application>LibreOffice/5.0.3.2$Linux_X86_64 LibreOffice_project/00m0$Build-2</Application>
  <Paragraphs>141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2020-11-17T18:38:00Z</dcterms:created>
  <dc:creator>Сошин</dc:creator>
  <dc:language>ru-RU</dc:language>
  <dcterms:modified xsi:type="dcterms:W3CDTF">2020-11-23T18:04:33Z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