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uli-da-sottoscrivere"/>
    <w:p>
      <w:pPr>
        <w:pStyle w:val="Heading1"/>
      </w:pPr>
      <w:r>
        <w:t xml:space="preserve">Moduli da sottoscrivere</w:t>
      </w:r>
    </w:p>
    <w:bookmarkStart w:id="20" w:name="Xd7ad47f832d749096cf44f1da01a3ab7265dfed"/>
    <w:p>
      <w:pPr>
        <w:pStyle w:val="Heading2"/>
      </w:pPr>
      <w:r>
        <w:t xml:space="preserve">Allegati a</w:t>
      </w:r>
      <w:r>
        <w:t xml:space="preserve"> </w:t>
      </w:r>
      <w:r>
        <w:rPr>
          <w:iCs/>
          <w:i/>
        </w:rPr>
        <w:t xml:space="preserve">Intelligenza artificiale in azienda</w:t>
      </w:r>
    </w:p>
    <w:p>
      <w:pPr>
        <w:pStyle w:val="FirstParagraph"/>
      </w:pPr>
      <w:r>
        <w:rPr>
          <w:iCs/>
          <w:i/>
        </w:rPr>
        <w:t xml:space="preserve">Tre modelli da adattare, protocollare e far firmare. Testo aggiornato al 3 agosto 2026.</w:t>
      </w:r>
    </w:p>
    <w:p>
      <w:pPr>
        <w:pStyle w:val="BodyText"/>
      </w:pPr>
      <w:r>
        <w:rPr>
          <w:bCs/>
          <w:b/>
        </w:rPr>
        <w:t xml:space="preserve">Avvertenza.</w:t>
      </w:r>
      <w:r>
        <w:t xml:space="preserve"> </w:t>
      </w:r>
      <w:r>
        <w:t xml:space="preserve">Sono strumenti organizzativi. Non costituiscono parere legale e non attestano la conformità dell’organizzazione ad alcuna disposizione. Prima dell’adozione, i modelli che incidono sul rapporto di lavoro vanno sottoposti al consulente del lavoro e al responsabile della protezione dei dati.</w:t>
      </w:r>
    </w:p>
    <w:p>
      <w:r>
        <w:br w:type="page"/>
      </w:r>
    </w:p>
    <w:bookmarkEnd w:id="20"/>
    <w:bookmarkEnd w:id="21"/>
    <w:bookmarkStart w:id="22" w:name="modulo-1-dichiarazione-dellutilizzatore"/>
    <w:p>
      <w:pPr>
        <w:pStyle w:val="Heading1"/>
      </w:pPr>
      <w:r>
        <w:t xml:space="preserve">Modulo 1 — Dichiarazione dell’utilizzatore</w:t>
      </w:r>
    </w:p>
    <w:p>
      <w:pPr>
        <w:pStyle w:val="FirstParagraph"/>
      </w:pPr>
      <w:r>
        <w:rPr>
          <w:iCs/>
          <w:i/>
        </w:rPr>
        <w:t xml:space="preserve">Da raccogliere da ciascuna persona che accede a strumenti di intelligenza artificiale, prima dell’accesso. Riferimento: policy interna, artt. 5, 6, 7 e 10 (capitolo 15).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Organizzazione: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Nome e cognome: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Ruolo e reparto:</w:t>
      </w:r>
      <w:r>
        <w:t xml:space="preserve"> </w:t>
      </w:r>
      <w:r>
        <w:t xml:space="preserve">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Il sottoscritto dichiara: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di aver ricevuto e preso visione della</w:t>
      </w:r>
      <w:r>
        <w:t xml:space="preserve"> </w:t>
      </w:r>
      <w:r>
        <w:rPr>
          <w:iCs/>
          <w:i/>
        </w:rPr>
        <w:t xml:space="preserve">Policy aziendale sull’uso dei sistemi di intelligenza artificiale</w:t>
      </w:r>
      <w:r>
        <w:t xml:space="preserve">, versione ______________ del ______________;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di aver partecipato al modulo formativo previsto per il proprio ruolo, tenutosi in data ______________;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di conoscere l’elenco degli strumenti autorizzati e di sapere che l’introduzione di un nuovo strumento richiede autorizzazione preventiva;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di sapere che</w:t>
      </w:r>
      <w:r>
        <w:t xml:space="preserve"> </w:t>
      </w:r>
      <w:r>
        <w:rPr>
          <w:bCs/>
          <w:b/>
        </w:rPr>
        <w:t xml:space="preserve">l’uso di account personali per attività lavorative è vietato</w:t>
      </w:r>
      <w:r>
        <w:t xml:space="preserve">;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di conoscere l’elenco delle informazioni che non possono essere inserite negli strumenti di intelligenza artificiale, e in particolare — a titolo esemplificativo e non esaustivo — listini e condizioni economiche riservate, anagrafiche e dati di clienti e fornitori, documenti contrattuali, credenziali e chiavi di accesso, codice sorgente riservato, disegni tecnici e know-how produttivo, brevetti non ancora pubblicati, documentazione di prodotti non ancora presentati, dati dei dipendenti, informazioni ricevute sotto accordo di riservatezza, documentazione relativa a contenziosi e verifiche ispettive, dati su incidenti e non conformità di prodotto;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di sapere che ogni output destinato all’esterno, incluso in documentazione tecnica, di sicurezza o contrattuale, oppure posto a base di una decisione,</w:t>
      </w:r>
      <w:r>
        <w:t xml:space="preserve"> </w:t>
      </w:r>
      <w:r>
        <w:rPr>
          <w:bCs/>
          <w:b/>
        </w:rPr>
        <w:t xml:space="preserve">deve essere verificato nella sostanza</w:t>
      </w:r>
      <w:r>
        <w:t xml:space="preserve"> </w:t>
      </w:r>
      <w:r>
        <w:t xml:space="preserve">da una persona competente, e che il controllo meramente formale del testo non costituisce verifica;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di essere consapevole di</w:t>
      </w:r>
      <w:r>
        <w:t xml:space="preserve"> </w:t>
      </w:r>
      <w:r>
        <w:rPr>
          <w:bCs/>
          <w:b/>
        </w:rPr>
        <w:t xml:space="preserve">rispondere del contenuto prodotto e diffuso come se lo avesse redatto direttamente</w:t>
      </w:r>
      <w:r>
        <w:t xml:space="preserve">, e che l’uso dello strumento non attenua la responsabilità professionale;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di conoscere gli utilizzi vietati dalla policy;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di impegnarsi a segnalare senza ritardo al referente per l’IA ogni errore rilevante, uso improprio, sospetta divulgazione di informazioni riservate o incidente di sicurezza, essendo informato che</w:t>
      </w:r>
      <w:r>
        <w:t xml:space="preserve"> </w:t>
      </w:r>
      <w:r>
        <w:rPr>
          <w:bCs/>
          <w:b/>
        </w:rPr>
        <w:t xml:space="preserve">le segnalazioni effettuate in buona fede non comportano conseguenze per il segnalante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Luogo e data: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Firma:</w:t>
      </w:r>
      <w:r>
        <w:t xml:space="preserve"> </w:t>
      </w:r>
      <w:r>
        <w:t xml:space="preserve">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Spazio riservato all’organizzazione</w:t>
      </w:r>
    </w:p>
    <w:p>
      <w:pPr>
        <w:pStyle w:val="BodyText"/>
      </w:pPr>
      <w:r>
        <w:t xml:space="preserve">Ricevuta e protocollata in data ______________ — Referente per l’IA ______________________________________________</w:t>
      </w:r>
    </w:p>
    <w:p>
      <w:r>
        <w:br w:type="page"/>
      </w:r>
    </w:p>
    <w:bookmarkEnd w:id="22"/>
    <w:bookmarkStart w:id="23" w:name="X4fa1f01af0b71f1f1d26bc7fab08f6ef8559007"/>
    <w:p>
      <w:pPr>
        <w:pStyle w:val="Heading1"/>
      </w:pPr>
      <w:r>
        <w:t xml:space="preserve">Modulo 2 — Atto di incarico del referente per l’intelligenza artificiale</w:t>
      </w:r>
    </w:p>
    <w:p>
      <w:pPr>
        <w:pStyle w:val="FirstParagraph"/>
      </w:pPr>
      <w:r>
        <w:rPr>
          <w:iCs/>
          <w:i/>
        </w:rPr>
        <w:t xml:space="preserve">La nomina di un referente non è imposta da alcuna norma: è una raccomandazione organizzativa (capitolo 17). L’atto serve a delimitare l’incarico, non a trasferire responsabilità.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L’organizzazione</w:t>
      </w:r>
      <w:r>
        <w:t xml:space="preserve"> </w:t>
      </w:r>
      <w:r>
        <w:t xml:space="preserve">______________________________________________, con sede in ______________________________________________, in persona di ______________________________________________, che ne ha il potere di rappresentanza,</w:t>
      </w:r>
    </w:p>
    <w:p>
      <w:pPr>
        <w:pStyle w:val="BodyText"/>
      </w:pPr>
      <w:r>
        <w:rPr>
          <w:bCs/>
          <w:b/>
        </w:rPr>
        <w:t xml:space="preserve">incarica</w:t>
      </w:r>
    </w:p>
    <w:p>
      <w:pPr>
        <w:pStyle w:val="BodyText"/>
      </w:pPr>
      <w:r>
        <w:t xml:space="preserve">il sig./la sig.ra ______________________________________________, ruolo aziendale ______________________________________________, quale</w:t>
      </w:r>
      <w:r>
        <w:t xml:space="preserve"> </w:t>
      </w:r>
      <w:r>
        <w:rPr>
          <w:bCs/>
          <w:b/>
        </w:rPr>
        <w:t xml:space="preserve">referente organizzativo per l’intelligenza artificiale</w:t>
      </w:r>
      <w:r>
        <w:t xml:space="preserve">, alle condizioni che seguono.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Art. 1 — Oggetto.</w:t>
      </w:r>
      <w:r>
        <w:t xml:space="preserve"> </w:t>
      </w:r>
      <w:r>
        <w:t xml:space="preserve">L’incarico ha per oggetto le seguenti attività:</w:t>
      </w:r>
    </w:p>
    <w:p>
      <w:pPr>
        <w:numPr>
          <w:ilvl w:val="0"/>
          <w:numId w:val="1001"/>
        </w:numPr>
      </w:pPr>
      <w:r>
        <w:t xml:space="preserve">censimento degli strumenti di intelligenza artificiale in uso e tenuta del relativo registro;</w:t>
      </w:r>
    </w:p>
    <w:p>
      <w:pPr>
        <w:numPr>
          <w:ilvl w:val="0"/>
          <w:numId w:val="1001"/>
        </w:numPr>
      </w:pPr>
      <w:r>
        <w:t xml:space="preserve">istruttoria delle richieste di autorizzazione di nuovi strumenti, secondo la procedura aziendale;</w:t>
      </w:r>
    </w:p>
    <w:p>
      <w:pPr>
        <w:numPr>
          <w:ilvl w:val="0"/>
          <w:numId w:val="1001"/>
        </w:numPr>
      </w:pPr>
      <w:r>
        <w:t xml:space="preserve">predisposizione e aggiornamento della policy interna, delle procedure e della modulistica;</w:t>
      </w:r>
    </w:p>
    <w:p>
      <w:pPr>
        <w:numPr>
          <w:ilvl w:val="0"/>
          <w:numId w:val="1001"/>
        </w:numPr>
      </w:pPr>
      <w:r>
        <w:t xml:space="preserve">organizzazione e documentazione delle misure di alfabetizzazione del personale;</w:t>
      </w:r>
    </w:p>
    <w:p>
      <w:pPr>
        <w:numPr>
          <w:ilvl w:val="0"/>
          <w:numId w:val="1001"/>
        </w:numPr>
      </w:pPr>
      <w:r>
        <w:t xml:space="preserve">raccolta e istruttoria delle segnalazioni di errori e incidenti;</w:t>
      </w:r>
    </w:p>
    <w:p>
      <w:pPr>
        <w:numPr>
          <w:ilvl w:val="0"/>
          <w:numId w:val="1001"/>
        </w:numPr>
      </w:pPr>
      <w:r>
        <w:t xml:space="preserve">monitoraggio delle scadenze normative e proposta degli adeguamenti;</w:t>
      </w:r>
    </w:p>
    <w:p>
      <w:pPr>
        <w:numPr>
          <w:ilvl w:val="0"/>
          <w:numId w:val="1001"/>
        </w:numPr>
      </w:pPr>
      <w:r>
        <w:t xml:space="preserve">relazione periodica al vertice aziendale e riesame annuale.</w:t>
      </w:r>
    </w:p>
    <w:p>
      <w:pPr>
        <w:pStyle w:val="FirstParagraph"/>
      </w:pPr>
      <w:r>
        <w:rPr>
          <w:bCs/>
          <w:b/>
        </w:rPr>
        <w:t xml:space="preserve">Art. 2 — Esclusioni espresse.</w:t>
      </w:r>
      <w:r>
        <w:t xml:space="preserve"> </w:t>
      </w:r>
      <w:r>
        <w:t xml:space="preserve">L’incarico</w:t>
      </w:r>
      <w:r>
        <w:t xml:space="preserve"> </w:t>
      </w:r>
      <w:r>
        <w:rPr>
          <w:bCs/>
          <w:b/>
        </w:rPr>
        <w:t xml:space="preserve">non</w:t>
      </w:r>
      <w:r>
        <w:t xml:space="preserve"> </w:t>
      </w:r>
      <w:r>
        <w:t xml:space="preserve">comprende e il referente</w:t>
      </w:r>
      <w:r>
        <w:t xml:space="preserve"> </w:t>
      </w:r>
      <w:r>
        <w:rPr>
          <w:bCs/>
          <w:b/>
        </w:rPr>
        <w:t xml:space="preserve">non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rende pareri legali né stabilisce che cosa sia dovuto per legge;</w:t>
      </w:r>
    </w:p>
    <w:p>
      <w:pPr>
        <w:numPr>
          <w:ilvl w:val="0"/>
          <w:numId w:val="1002"/>
        </w:numPr>
      </w:pPr>
      <w:r>
        <w:t xml:space="preserve">sostituisce il responsabile della protezione dei dati nelle valutazioni di liceità dei trattamenti;</w:t>
      </w:r>
    </w:p>
    <w:p>
      <w:pPr>
        <w:numPr>
          <w:ilvl w:val="0"/>
          <w:numId w:val="1002"/>
        </w:numPr>
      </w:pPr>
      <w:r>
        <w:t xml:space="preserve">assume le responsabilità del datore di lavoro in materia di salute e sicurezza;</w:t>
      </w:r>
    </w:p>
    <w:p>
      <w:pPr>
        <w:numPr>
          <w:ilvl w:val="0"/>
          <w:numId w:val="1002"/>
        </w:numPr>
      </w:pPr>
      <w:r>
        <w:t xml:space="preserve">sottoscrive dichiarazioni di conformità di prodotto;</w:t>
      </w:r>
    </w:p>
    <w:p>
      <w:pPr>
        <w:numPr>
          <w:ilvl w:val="0"/>
          <w:numId w:val="1002"/>
        </w:numPr>
      </w:pPr>
      <w:r>
        <w:t xml:space="preserve">decide sulle persone: assunzioni, valutazioni, provvedimenti disciplinari.</w:t>
      </w:r>
    </w:p>
    <w:p>
      <w:pPr>
        <w:pStyle w:val="FirstParagraph"/>
      </w:pPr>
      <w:r>
        <w:t xml:space="preserve">Restano ferme in capo all’organizzazione le qualità di titolare del trattamento, di deployer ai sensi del Regolamento (UE) 2024/1689 e di datore di lavoro.</w:t>
      </w:r>
      <w:r>
        <w:t xml:space="preserve"> </w:t>
      </w:r>
      <w:r>
        <w:rPr>
          <w:bCs/>
          <w:b/>
        </w:rPr>
        <w:t xml:space="preserve">La nomina distribuisce compiti, non trasferisce responsabilità.</w:t>
      </w:r>
    </w:p>
    <w:p>
      <w:pPr>
        <w:pStyle w:val="BodyText"/>
      </w:pPr>
      <w:r>
        <w:rPr>
          <w:bCs/>
          <w:b/>
        </w:rPr>
        <w:t xml:space="preserve">Art. 3 — Poteri.</w:t>
      </w:r>
      <w:r>
        <w:t xml:space="preserve"> </w:t>
      </w:r>
      <w:r>
        <w:t xml:space="preserve">Al referente sono riconosciuti: accesso alle informazioni e ai documenti necessari; la facoltà di</w:t>
      </w:r>
      <w:r>
        <w:t xml:space="preserve"> </w:t>
      </w:r>
      <w:r>
        <w:rPr>
          <w:bCs/>
          <w:b/>
        </w:rPr>
        <w:t xml:space="preserve">sospendere in via cautelare</w:t>
      </w:r>
      <w:r>
        <w:t xml:space="preserve"> </w:t>
      </w:r>
      <w:r>
        <w:t xml:space="preserve">un utilizzo in caso di rischio evidente, dandone immediata comunicazione al vertice; accesso diretto a chi decide.</w:t>
      </w:r>
    </w:p>
    <w:p>
      <w:pPr>
        <w:pStyle w:val="BodyText"/>
      </w:pPr>
      <w:r>
        <w:rPr>
          <w:bCs/>
          <w:b/>
        </w:rPr>
        <w:t xml:space="preserve">Art. 4 — Risorse.</w:t>
      </w:r>
      <w:r>
        <w:t xml:space="preserve"> </w:t>
      </w:r>
      <w:r>
        <w:t xml:space="preserve">All’incarico sono destinati: tempo dedicato pari a ______________ ore mensili; budget annuo di euro ______________; formazione ______________________________________________.</w:t>
      </w:r>
    </w:p>
    <w:p>
      <w:pPr>
        <w:pStyle w:val="BodyText"/>
      </w:pPr>
      <w:r>
        <w:rPr>
          <w:bCs/>
          <w:b/>
        </w:rPr>
        <w:t xml:space="preserve">Art. 5 — Rendicontazione.</w:t>
      </w:r>
      <w:r>
        <w:t xml:space="preserve"> </w:t>
      </w:r>
      <w:r>
        <w:t xml:space="preserve">Il referente riferisce a ______________________________________________ con relazione ______________ (periodicità) e in ogni caso in occasione del riesame annuale.</w:t>
      </w:r>
    </w:p>
    <w:p>
      <w:pPr>
        <w:pStyle w:val="BodyText"/>
      </w:pPr>
      <w:r>
        <w:rPr>
          <w:bCs/>
          <w:b/>
        </w:rPr>
        <w:t xml:space="preserve">Art. 6 — Durata e revoca.</w:t>
      </w:r>
      <w:r>
        <w:t xml:space="preserve"> </w:t>
      </w:r>
      <w:r>
        <w:t xml:space="preserve">L’incarico decorre dal ______________ e ha durata ______________. È revocabile in qualsiasi momento con comunicazione scritta, senza che ciò incida sul rapporto di lavoro in essere.</w:t>
      </w:r>
    </w:p>
    <w:p>
      <w:pPr>
        <w:pStyle w:val="BodyText"/>
      </w:pPr>
      <w:r>
        <w:rPr>
          <w:bCs/>
          <w:b/>
        </w:rPr>
        <w:t xml:space="preserve">Art. 7 — Riservatezza.</w:t>
      </w:r>
      <w:r>
        <w:t xml:space="preserve"> </w:t>
      </w:r>
      <w:r>
        <w:t xml:space="preserve">Il referente è tenuto alla riservatezza su tutte le informazioni di cui venga a conoscenza nell’esercizio dell’incarico, anche dopo la cessazione dello stesso.</w:t>
      </w:r>
    </w:p>
    <w:p>
      <w:pPr>
        <w:pStyle w:val="BodyText"/>
      </w:pPr>
      <w:r>
        <w:rPr>
          <w:bCs/>
          <w:b/>
        </w:rPr>
        <w:t xml:space="preserve">Art. 8 — Responsabilità.</w:t>
      </w:r>
      <w:r>
        <w:t xml:space="preserve"> </w:t>
      </w:r>
      <w:r>
        <w:t xml:space="preserve">Il referente non risponde personalmente delle scelte adottate dall’organizzazione su sua proposta, salvo dolo o colpa grave secondo le regole generali.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Luogo e data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Per l’organizzazione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Cs/>
          <w:b/>
        </w:rPr>
        <w:t xml:space="preserve">Per accettazione, il referente</w:t>
      </w:r>
      <w:r>
        <w:t xml:space="preserve"> </w:t>
      </w:r>
      <w:r>
        <w:t xml:space="preserve">______________________________________________</w:t>
      </w:r>
    </w:p>
    <w:p>
      <w:r>
        <w:br w:type="page"/>
      </w:r>
    </w:p>
    <w:bookmarkEnd w:id="23"/>
    <w:bookmarkStart w:id="24" w:name="Xaa6b3ae26209854e9b78f0dc38a9cb5936d474c"/>
    <w:p>
      <w:pPr>
        <w:pStyle w:val="Heading1"/>
      </w:pPr>
      <w:r>
        <w:t xml:space="preserve">Modulo 3 — Procedura per errori e incidenti</w:t>
      </w:r>
    </w:p>
    <w:p>
      <w:pPr>
        <w:pStyle w:val="FirstParagraph"/>
      </w:pPr>
      <w:r>
        <w:rPr>
          <w:iCs/>
          <w:i/>
        </w:rPr>
        <w:t xml:space="preserve">Riferimento: policy interna, art. 9 (capitolo 15). Da coordinare con la procedura aziendale per le violazioni di dati personali, artt. 33 e 34 GDPR.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 Che cosa va segnalato</w:t>
      </w:r>
    </w:p>
    <w:p>
      <w:pPr>
        <w:pStyle w:val="BodyText"/>
      </w:pPr>
      <w:r>
        <w:t xml:space="preserve">Va segnalato ogni evento connesso all’uso di strumenti di intelligenza artificiale che rientri in una di queste categorie: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errore in un output</w:t>
      </w:r>
      <w:r>
        <w:t xml:space="preserve"> </w:t>
      </w:r>
      <w:r>
        <w:t xml:space="preserve">già utilizzato, inviato, pubblicato o inserito in documentazione tecnica, di sicurezza o contrattuale;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uso improprio</w:t>
      </w:r>
      <w:r>
        <w:t xml:space="preserve">, compreso l’uso di account personali per attività lavorative e l’impiego di strumenti non autorizzati;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sospetta divulgazione</w:t>
      </w:r>
      <w:r>
        <w:t xml:space="preserve"> </w:t>
      </w:r>
      <w:r>
        <w:t xml:space="preserve">di informazioni riservate o di dati personali, anche solo potenziale;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incidente di sicurezza</w:t>
      </w:r>
      <w:r>
        <w:t xml:space="preserve">: accesso non autorizzato, perdita di controllo su un account, condivisione non voluta;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funzione inattesa</w:t>
      </w:r>
      <w:r>
        <w:t xml:space="preserve"> </w:t>
      </w:r>
      <w:r>
        <w:t xml:space="preserve">rilevata in uno strumento già in uso, in particolare se riguarda l’analisi di persone.</w:t>
      </w:r>
    </w:p>
    <w:p>
      <w:pPr>
        <w:pStyle w:val="FirstParagraph"/>
      </w:pPr>
      <w:r>
        <w:t xml:space="preserve">Nel dubbio, si segnala. Una segnalazione in eccesso costa dieci minuti; una mancata segnalazione costa il tempo che passa prima che il problema emerga altrove.</w:t>
      </w:r>
    </w:p>
    <w:p>
      <w:pPr>
        <w:pStyle w:val="BodyText"/>
      </w:pPr>
      <w:r>
        <w:rPr>
          <w:bCs/>
          <w:b/>
        </w:rPr>
        <w:t xml:space="preserve">2. Chi segnala e a chi</w:t>
      </w:r>
    </w:p>
    <w:p>
      <w:pPr>
        <w:pStyle w:val="BodyText"/>
      </w:pPr>
      <w:r>
        <w:t xml:space="preserve">Chiunque rilevi l’evento, anche se non lo ha causato, lo segnala</w:t>
      </w:r>
      <w:r>
        <w:t xml:space="preserve"> </w:t>
      </w:r>
      <w:r>
        <w:rPr>
          <w:bCs/>
          <w:b/>
        </w:rPr>
        <w:t xml:space="preserve">senza ritardo</w:t>
      </w:r>
      <w:r>
        <w:t xml:space="preserve"> </w:t>
      </w:r>
      <w:r>
        <w:t xml:space="preserve">al referente per l’IA, per iscritto (e-mail o modulo interno), indicando: che cosa è successo, quando, quale strumento, quali informazioni potrebbero essere coinvolte, che cosa si è già fatto.</w:t>
      </w:r>
    </w:p>
    <w:p>
      <w:pPr>
        <w:pStyle w:val="BodyText"/>
      </w:pPr>
      <w:r>
        <w:rPr>
          <w:bCs/>
          <w:b/>
        </w:rPr>
        <w:t xml:space="preserve">Le segnalazioni effettuate in buona fede non comportano conseguenze per il segnalante.</w:t>
      </w:r>
      <w:r>
        <w:t xml:space="preserve"> </w:t>
      </w:r>
      <w:r>
        <w:t xml:space="preserve">Questa garanzia è la condizione perché l’organizzazione venga a sapere degli incidenti: va richiamata nella formazione e rispettata nei fatti.</w:t>
      </w:r>
    </w:p>
    <w:p>
      <w:pPr>
        <w:pStyle w:val="BodyText"/>
      </w:pPr>
      <w:r>
        <w:rPr>
          <w:bCs/>
          <w:b/>
        </w:rPr>
        <w:t xml:space="preserve">3. Che cosa fa il referente</w:t>
      </w:r>
    </w:p>
    <w:p>
      <w:pPr>
        <w:pStyle w:val="BodyText"/>
      </w:pPr>
      <w:r>
        <w:t xml:space="preserve">Entro</w:t>
      </w:r>
      <w:r>
        <w:t xml:space="preserve"> </w:t>
      </w:r>
      <w:r>
        <w:rPr>
          <w:bCs/>
          <w:b/>
        </w:rPr>
        <w:t xml:space="preserve">un giorno lavorativo</w:t>
      </w:r>
      <w:r>
        <w:t xml:space="preserve"> </w:t>
      </w:r>
      <w:r>
        <w:t xml:space="preserve">dalla ricezione:</w:t>
      </w:r>
    </w:p>
    <w:p>
      <w:pPr>
        <w:numPr>
          <w:ilvl w:val="0"/>
          <w:numId w:val="1004"/>
        </w:numPr>
      </w:pPr>
      <w:r>
        <w:t xml:space="preserve">registra la segnalazione nel</w:t>
      </w:r>
      <w:r>
        <w:t xml:space="preserve"> </w:t>
      </w:r>
      <w:r>
        <w:rPr>
          <w:iCs/>
          <w:i/>
        </w:rPr>
        <w:t xml:space="preserve">Registro degli errori e degli incidenti</w:t>
      </w:r>
      <w:r>
        <w:t xml:space="preserve">;</w:t>
      </w:r>
    </w:p>
    <w:p>
      <w:pPr>
        <w:numPr>
          <w:ilvl w:val="0"/>
          <w:numId w:val="1004"/>
        </w:numPr>
      </w:pPr>
      <w:r>
        <w:t xml:space="preserve">accerta i fatti essenziali e la portata dell’evento;</w:t>
      </w:r>
    </w:p>
    <w:p>
      <w:pPr>
        <w:numPr>
          <w:ilvl w:val="0"/>
          <w:numId w:val="1004"/>
        </w:numPr>
      </w:pPr>
      <w:r>
        <w:t xml:space="preserve">dispone o propone le azioni immediate di contenimento (revoca di accessi, cancellazione di conversazioni, sospensione dell’utilizzo, ritiro o rettifica del documento diffuso);</w:t>
      </w:r>
    </w:p>
    <w:p>
      <w:pPr>
        <w:numPr>
          <w:ilvl w:val="0"/>
          <w:numId w:val="1004"/>
        </w:numPr>
      </w:pPr>
      <w:r>
        <w:t xml:space="preserve">informa il vertice aziendale se l’evento è rilevante;</w:t>
      </w:r>
    </w:p>
    <w:p>
      <w:pPr>
        <w:numPr>
          <w:ilvl w:val="0"/>
          <w:numId w:val="1004"/>
        </w:numPr>
      </w:pPr>
      <w:r>
        <w:t xml:space="preserve">coinvolge il responsabile della protezione dei dati</w:t>
      </w:r>
      <w:r>
        <w:t xml:space="preserve"> </w:t>
      </w:r>
      <w:r>
        <w:rPr>
          <w:bCs/>
          <w:b/>
        </w:rPr>
        <w:t xml:space="preserve">se sono o potrebbero essere coinvolti dati personali</w:t>
      </w:r>
      <w:r>
        <w:t xml:space="preserve">, per la valutazione degli obblighi di notifica ai sensi degli articoli 33 e 34 del GDPR — valutazione che resta di competenza del titolare e del DPO, non del referente;</w:t>
      </w:r>
    </w:p>
    <w:p>
      <w:pPr>
        <w:numPr>
          <w:ilvl w:val="0"/>
          <w:numId w:val="1004"/>
        </w:numPr>
      </w:pPr>
      <w:r>
        <w:t xml:space="preserve">coinvolge la funzione tecnica se l’evento riguarda documentazione di sicurezza o prodotti;</w:t>
      </w:r>
    </w:p>
    <w:p>
      <w:pPr>
        <w:numPr>
          <w:ilvl w:val="0"/>
          <w:numId w:val="1004"/>
        </w:numPr>
      </w:pPr>
      <w:r>
        <w:t xml:space="preserve">coinvolge il consulente legale nei casi che lo richiedono.</w:t>
      </w:r>
    </w:p>
    <w:p>
      <w:pPr>
        <w:pStyle w:val="FirstParagraph"/>
      </w:pPr>
      <w:r>
        <w:rPr>
          <w:bCs/>
          <w:b/>
        </w:rPr>
        <w:t xml:space="preserve">4. Chiusura</w:t>
      </w:r>
    </w:p>
    <w:p>
      <w:pPr>
        <w:pStyle w:val="BodyText"/>
      </w:pPr>
      <w:r>
        <w:t xml:space="preserve">L’evento si chiude con: la descrizione delle azioni svolte, l’indicazione della causa, la misura correttiva adottata perché non si ripeta, la data di chiusura e il nome di chi l’ha disposta.</w:t>
      </w:r>
    </w:p>
    <w:p>
      <w:pPr>
        <w:pStyle w:val="BodyText"/>
      </w:pPr>
      <w:r>
        <w:t xml:space="preserve">Se la misura correttiva comporta una modifica della policy, dell’elenco degli strumenti autorizzati o della formazione, la modifica va tracciata nel documento corrispondente.</w:t>
      </w:r>
    </w:p>
    <w:p>
      <w:pPr>
        <w:pStyle w:val="BodyText"/>
      </w:pPr>
      <w:r>
        <w:rPr>
          <w:bCs/>
          <w:b/>
        </w:rPr>
        <w:t xml:space="preserve">5. Riesame</w:t>
      </w:r>
    </w:p>
    <w:p>
      <w:pPr>
        <w:pStyle w:val="BodyText"/>
      </w:pPr>
      <w:r>
        <w:t xml:space="preserve">In sede di riesame annuale il referente presenta al vertice il quadro delle segnalazioni ricevute, delle cause ricorrenti e delle misure adottate. L’assenza totale di segnalazioni per un anno intero, in un’organizzazione che usa questi strumenti quotidianamente, non è un buon segno: è quasi sempre un indizio che il canale non funziona.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Procedura approvata dal vertice aziendale in data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bCs/>
          <w:b/>
        </w:rPr>
        <w:t xml:space="preserve">Referente per l’IA</w:t>
      </w:r>
      <w:r>
        <w:t xml:space="preserve"> </w:t>
      </w:r>
      <w:r>
        <w:t xml:space="preserve">______________________________________________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2026-08-04T06:41:40Z</dcterms:created>
  <dcterms:modified xsi:type="dcterms:W3CDTF">2026-08-04T06:41:40Z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