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新能源汽车智能诊断系统 产品方案</w:t>
      </w:r>
    </w:p>
    <w:p>
      <w:r>
        <w:rPr>
          <w:b/>
          <w:sz w:val="24"/>
        </w:rPr>
        <w:t>1. 背景与目标</w:t>
      </w:r>
    </w:p>
    <w:p>
      <w:pPr>
        <w:ind w:firstLine="480"/>
      </w:pPr>
      <w:r>
        <w:t>随着新能源汽车保有量快速攀升，传统燃油车时代的售后诊断方式已难以满足需求。整车电子电气架构日益复杂，单一故障码往往只能定位表象，无法还原故障根因链。本系统以车辆历史运行数据（VHR）为底座，结合 AI 诊断模型，把“看代码出结论”升级为“看数据讲因果”。目标是让售后工程师在更短时间里给出更准的维修建议，降低返修率，提升客户一次修复满意度。</w:t>
      </w:r>
    </w:p>
    <w:p>
      <w:r>
        <w:rPr>
          <w:b/>
          <w:sz w:val="24"/>
        </w:rPr>
        <w:t>2. 系统能力</w:t>
      </w:r>
    </w:p>
    <w:p>
      <w:pPr>
        <w:ind w:firstLine="480"/>
      </w:pPr>
      <w:r>
        <w:t>系统提供三类核心能力。第一，数据汇聚：接入车辆上传的 VHR 文件与实时信号流，完成格式归一与质量清洗。第二，智能诊断：基于故障码、信号曲线与历史案例，利用 AI 模型生成根因假设并给出排查路径。第三，知识沉淀：把每次诊断结论回写案例库，形成可持续增长的维修知识资产。三类能力共用一套数据中台，避免重复建设。</w:t>
      </w:r>
    </w:p>
    <w:p>
      <w:r>
        <w:rPr>
          <w:b/>
          <w:sz w:val="24"/>
        </w:rPr>
        <w:t>3. 技术架构</w:t>
      </w:r>
    </w:p>
    <w:p>
      <w:pPr>
        <w:ind w:firstLine="480"/>
      </w:pPr>
      <w:r>
        <w:t>整体采用分层架构。数据接入层负责文件解析与流式采集，统一输出标准化时序信号；诊断引擎层基于规则引擎与 AI 模型双通道，规则负责确定性强的问题，模型负责模糊复杂场景；应用层面向售后工程师提供诊断工单、案例检索与报告生成。诊断引擎与数据中台解耦，后续可独立替换模型而无需改动数据链路。</w:t>
      </w:r>
    </w:p>
    <w:p>
      <w:r>
        <w:rPr>
          <w:b/>
          <w:sz w:val="24"/>
        </w:rPr>
        <w:t>4. 诊断流程</w:t>
      </w:r>
    </w:p>
    <w:p>
      <w:pPr>
        <w:ind w:firstLine="480"/>
      </w:pPr>
      <w:r>
        <w:t>一次诊断的完整流程为：读取车辆故障码与上下文信号，提取关键特征片段，送入模型生成候选根因，结合历史案例排序打分，输出带证据链的排查建议。流程强调可解释性，每一步都保留原始证据，工程师可逐条核对模型判断依据，而不是盲信结论。</w:t>
      </w:r>
    </w:p>
    <w:p>
      <w:r>
        <w:rPr>
          <w:b/>
          <w:sz w:val="24"/>
        </w:rPr>
        <w:t>5. 知识库与检索</w:t>
      </w:r>
    </w:p>
    <w:p>
      <w:pPr>
        <w:ind w:firstLine="480"/>
      </w:pPr>
      <w:r>
        <w:t>历史诊断结论与维修方案沉淀为结构化知识库，支持按车型、故障码、信号特征检索。检索结果用于两处：一是辅助新案例的诊断推理，二是沉淀标准话术供客服使用。知识库采用向量检索与传统关键词检索混合，兼顾语义相似与精确命中。</w:t>
      </w:r>
    </w:p>
    <w:p>
      <w:r>
        <w:rPr>
          <w:b/>
          <w:sz w:val="24"/>
        </w:rPr>
        <w:t>6. 与写作引擎的协同</w:t>
      </w:r>
    </w:p>
    <w:p>
      <w:pPr>
        <w:ind w:firstLine="480"/>
      </w:pPr>
      <w:r>
        <w:t>诊断结论需要转化为面向客户的可读报告。系统内置写作引擎，支持一句话生成诊断小结、基于诊断素材仿写维修建议、按固定模板生成检查报告三类任务。诊断数据直接作为写作素材注入，保证报告内容与诊断证据一致，避免人工转述失真。</w:t>
      </w:r>
    </w:p>
    <w:p>
      <w:r>
        <w:rPr>
          <w:b/>
          <w:sz w:val="24"/>
        </w:rPr>
        <w:t>7. 上线与运维</w:t>
      </w:r>
    </w:p>
    <w:p>
      <w:pPr>
        <w:ind w:firstLine="480"/>
      </w:pPr>
      <w:r>
        <w:t>系统按车型分批上线，先覆盖主力车型再横向扩展。诊断模型定期用新案例回训，保证准确率不随车型迭代衰减。运维侧关注诊断引擎响应时长与知识库检索召回率两项核心指标，建立异常告警与版本灰度。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