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both"/>
        <w:rPr>
          <w:sz w:val="24"/>
          <w:b/>
          <w:sz w:val="24"/>
          <w:b/>
          <w:szCs w:val="24"/>
          <w:rFonts w:ascii="Arial" w:hAnsi="Arial" w:eastAsia="Times New Roman" w:cs="Arial"/>
          <w:lang w:eastAsia="de-DE"/>
        </w:rPr>
      </w:pPr>
      <w:r>
        <w:rPr>
          <w:rFonts w:cs="Arial"/>
          <w:b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b/>
          <w:sz w:val="24"/>
          <w:b/>
          <w:szCs w:val="24"/>
          <w:rFonts w:ascii="Arial" w:hAnsi="Arial" w:eastAsia="Times New Roman" w:cs="Arial"/>
          <w:lang w:eastAsia="de-DE"/>
        </w:rPr>
      </w:pPr>
      <w:r>
        <w:rPr>
          <w:rFonts w:cs="Arial"/>
          <w:b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b/>
          <w:sz w:val="24"/>
          <w:b/>
          <w:szCs w:val="24"/>
          <w:rFonts w:ascii="Arial" w:hAnsi="Arial" w:eastAsia="Times New Roman" w:cs="Arial"/>
          <w:lang w:eastAsia="de-DE"/>
        </w:rPr>
      </w:pPr>
      <w:r>
        <w:rPr>
          <w:rFonts w:cs="Arial"/>
          <w:b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b/>
          <w:sz w:val="24"/>
          <w:b/>
          <w:szCs w:val="24"/>
          <w:rFonts w:cs="Arial"/>
          <w:color w:val="FF0000"/>
        </w:rPr>
      </w:pPr>
      <w:r>
        <w:rPr>
          <w:rFonts w:cs="Arial"/>
          <w:b/>
          <w:sz w:val="24"/>
          <w:szCs w:val="24"/>
        </w:rPr>
        <w:t xml:space="preserve">Neue Promotionsordnung: </w:t>
      </w:r>
      <w:hyperlink r:id="rId2">
        <w:r>
          <w:rPr>
            <w:rStyle w:val="BesuchterInternetlink"/>
            <w:rFonts w:cs="Arial"/>
            <w:b/>
            <w:color w:val="FF0000"/>
            <w:sz w:val="24"/>
            <w:szCs w:val="24"/>
          </w:rPr>
          <w:t xml:space="preserve">Link der PromO </w:t>
        </w:r>
      </w:hyperlink>
      <w:r/>
    </w:p>
    <w:p>
      <w:pPr>
        <w:pStyle w:val="Normal"/>
        <w:spacing w:before="0" w:after="120"/>
        <w:jc w:val="both"/>
        <w:rPr>
          <w:sz w:val="32"/>
          <w:b/>
          <w:sz w:val="32"/>
          <w:b/>
          <w:szCs w:val="32"/>
          <w:rFonts w:cs="Arial"/>
        </w:rPr>
      </w:pPr>
      <w:r>
        <w:rPr>
          <w:rFonts w:cs="Arial"/>
          <w:b/>
          <w:sz w:val="32"/>
          <w:szCs w:val="32"/>
        </w:rPr>
        <w:t>(Übergangsbestimmungen siehe § 28)</w:t>
      </w:r>
      <w:r/>
    </w:p>
    <w:p>
      <w:pPr>
        <w:pStyle w:val="Normal"/>
        <w:spacing w:before="0" w:after="120"/>
        <w:jc w:val="both"/>
        <w:rPr>
          <w:sz w:val="24"/>
          <w:b/>
          <w:sz w:val="24"/>
          <w:b/>
          <w:szCs w:val="24"/>
          <w:rFonts w:ascii="Arial" w:hAnsi="Arial" w:eastAsia="Times New Roman" w:cs="Arial"/>
          <w:lang w:eastAsia="de-DE"/>
        </w:rPr>
      </w:pPr>
      <w:r>
        <w:rPr>
          <w:rFonts w:cs="Arial"/>
          <w:b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b/>
          <w:sz w:val="24"/>
          <w:b/>
          <w:szCs w:val="24"/>
          <w:rFonts w:ascii="Arial" w:hAnsi="Arial" w:eastAsia="Times New Roman" w:cs="Arial"/>
          <w:lang w:eastAsia="de-DE"/>
        </w:rPr>
      </w:pPr>
      <w:r>
        <w:rPr>
          <w:rFonts w:cs="Arial"/>
          <w:b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cs="Arial"/>
        </w:rPr>
      </w:pPr>
      <w:r>
        <w:rPr>
          <w:rFonts w:cs="Arial"/>
          <w:sz w:val="24"/>
          <w:szCs w:val="24"/>
        </w:rPr>
        <w:t>Seit dem 1. Juni 2016 ist die neue Promotionsordnung der Albert-Ludwigs-Universität für die Fakultät für Mathematik und Physik rechtskräftig.</w:t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cs="Arial"/>
        </w:rPr>
      </w:pPr>
      <w:r>
        <w:rPr>
          <w:rFonts w:cs="Arial"/>
          <w:sz w:val="24"/>
          <w:szCs w:val="24"/>
        </w:rPr>
        <w:t>Um zu entscheiden, wer nach welcher Promotionsordnung promovieren kann, informieren Sie sich bitte hier:</w:t>
      </w:r>
      <w:r/>
    </w:p>
    <w:p>
      <w:pPr>
        <w:pStyle w:val="Normal"/>
        <w:spacing w:before="0" w:after="120"/>
        <w:jc w:val="both"/>
        <w:rPr>
          <w:sz w:val="24"/>
          <w:b/>
          <w:sz w:val="24"/>
          <w:b/>
          <w:szCs w:val="24"/>
          <w:rFonts w:ascii="Arial" w:hAnsi="Arial" w:eastAsia="Times New Roman" w:cs="Arial"/>
          <w:lang w:eastAsia="de-DE"/>
        </w:rPr>
      </w:pPr>
      <w:r>
        <w:rPr>
          <w:rFonts w:cs="Arial"/>
          <w:b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Times New Roman" w:cs="Times New Roman"/>
          <w:lang w:eastAsia="de-DE"/>
        </w:rPr>
      </w:pPr>
      <w:r>
        <w:rPr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cs="Arial"/>
        </w:rPr>
      </w:pPr>
      <w:r>
        <w:rPr>
          <w:rFonts w:cs="Arial"/>
          <w:sz w:val="24"/>
          <w:szCs w:val="24"/>
        </w:rPr>
        <w:t xml:space="preserve">Für Promotionsverfahren, die zum Zeitpunkt des Inkrafttretens dieser Promotions-ordnung bereits eröffnet worden sind oder deren Eröffnung zu diesem Zeitpunkt bereits beantragt ist, gelten die bisherigen Vorschriften (die </w:t>
      </w:r>
      <w:r>
        <w:rPr>
          <w:rFonts w:cs="Arial"/>
          <w:b/>
          <w:sz w:val="24"/>
          <w:szCs w:val="24"/>
        </w:rPr>
        <w:t>alte</w:t>
      </w:r>
      <w:r>
        <w:rPr>
          <w:rFonts w:cs="Arial"/>
          <w:sz w:val="24"/>
          <w:szCs w:val="24"/>
        </w:rPr>
        <w:t xml:space="preserve"> Promotionsordnung).</w:t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cs="Arial"/>
        </w:rPr>
      </w:pPr>
      <w:r>
        <w:rPr>
          <w:rFonts w:cs="Arial"/>
          <w:sz w:val="24"/>
          <w:szCs w:val="24"/>
        </w:rPr>
        <w:t xml:space="preserve">Doktoranden/ Doktorandinnen, welche die Eröffnung des Promotionsverfahrens </w:t>
      </w:r>
      <w:r/>
    </w:p>
    <w:p>
      <w:pPr>
        <w:pStyle w:val="Normal"/>
        <w:spacing w:before="0" w:after="120"/>
        <w:jc w:val="both"/>
        <w:rPr>
          <w:sz w:val="24"/>
          <w:b/>
          <w:sz w:val="24"/>
          <w:b/>
          <w:szCs w:val="24"/>
          <w:rFonts w:cs="Arial"/>
        </w:rPr>
      </w:pPr>
      <w:r>
        <w:rPr>
          <w:rFonts w:cs="Arial"/>
          <w:sz w:val="24"/>
          <w:szCs w:val="24"/>
        </w:rPr>
        <w:t xml:space="preserve">(= Abgabe der Dissertation) bis zum 31. Mai 2016 noch nicht beantragt haben, können die Anwendung der </w:t>
      </w:r>
      <w:r>
        <w:rPr>
          <w:rFonts w:cs="Arial"/>
          <w:b/>
          <w:sz w:val="24"/>
          <w:szCs w:val="24"/>
        </w:rPr>
        <w:t>neuen</w:t>
      </w:r>
      <w:r>
        <w:rPr>
          <w:rFonts w:cs="Arial"/>
          <w:sz w:val="24"/>
          <w:szCs w:val="24"/>
        </w:rPr>
        <w:t xml:space="preserve"> Promotionsordnung </w:t>
      </w:r>
      <w:r>
        <w:rPr>
          <w:rFonts w:cs="Arial"/>
          <w:b/>
          <w:sz w:val="24"/>
          <w:szCs w:val="24"/>
        </w:rPr>
        <w:t>beantragen.</w:t>
      </w:r>
      <w:r/>
    </w:p>
    <w:p>
      <w:pPr>
        <w:pStyle w:val="Normal"/>
        <w:spacing w:before="0" w:after="120"/>
        <w:jc w:val="both"/>
        <w:rPr>
          <w:sz w:val="24"/>
          <w:u w:val="single"/>
          <w:sz w:val="24"/>
          <w:szCs w:val="24"/>
          <w:rFonts w:ascii="Arial" w:hAnsi="Arial" w:eastAsia="Times New Roman" w:cs="Arial"/>
          <w:color w:val="FF0000"/>
          <w:lang w:eastAsia="de-DE"/>
        </w:rPr>
      </w:pPr>
      <w:r>
        <w:rPr>
          <w:rFonts w:cs="Arial"/>
          <w:color w:val="FF0000"/>
          <w:sz w:val="24"/>
          <w:szCs w:val="24"/>
          <w:u w:val="single"/>
        </w:rPr>
      </w:r>
      <w:r/>
    </w:p>
    <w:p>
      <w:pPr>
        <w:pStyle w:val="Normal"/>
        <w:spacing w:before="0" w:after="120"/>
        <w:jc w:val="both"/>
        <w:rPr>
          <w:sz w:val="24"/>
          <w:u w:val="single"/>
          <w:sz w:val="24"/>
          <w:szCs w:val="24"/>
          <w:rFonts w:cs="Arial"/>
          <w:color w:val="FF0000"/>
        </w:rPr>
      </w:pPr>
      <w:hyperlink r:id="rId3">
        <w:r>
          <w:rPr>
            <w:rStyle w:val="BesuchterInternetlink"/>
            <w:rFonts w:cs="Arial"/>
            <w:color w:val="FF0000"/>
            <w:sz w:val="24"/>
            <w:szCs w:val="24"/>
            <w:u w:val="single"/>
          </w:rPr>
          <w:t>Antrag dazu: Link</w:t>
        </w:r>
      </w:hyperlink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cs="Arial"/>
        </w:rPr>
      </w:pPr>
      <w:r>
        <w:rPr>
          <w:rFonts w:cs="Arial"/>
          <w:sz w:val="24"/>
          <w:szCs w:val="24"/>
        </w:rPr>
        <w:t xml:space="preserve">Wird dieser Antrag </w:t>
      </w:r>
      <w:r>
        <w:rPr>
          <w:rFonts w:cs="Arial"/>
          <w:b/>
          <w:sz w:val="24"/>
          <w:szCs w:val="24"/>
        </w:rPr>
        <w:t>nicht gestellt</w:t>
      </w:r>
      <w:r>
        <w:rPr>
          <w:rFonts w:cs="Arial"/>
          <w:sz w:val="24"/>
          <w:szCs w:val="24"/>
        </w:rPr>
        <w:t xml:space="preserve">, so findet das Promotionsverfahren nach der </w:t>
      </w:r>
      <w:r>
        <w:rPr>
          <w:rFonts w:cs="Arial"/>
          <w:b/>
          <w:sz w:val="24"/>
          <w:szCs w:val="24"/>
        </w:rPr>
        <w:t>alten</w:t>
      </w:r>
      <w:r>
        <w:rPr>
          <w:rFonts w:cs="Arial"/>
          <w:sz w:val="24"/>
          <w:szCs w:val="24"/>
        </w:rPr>
        <w:t xml:space="preserve"> Promotionsordnung statt. </w:t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cs="Arial"/>
        </w:rPr>
      </w:pPr>
      <w:r>
        <w:rPr>
          <w:rFonts w:cs="Arial"/>
          <w:sz w:val="24"/>
          <w:szCs w:val="24"/>
        </w:rPr>
        <w:tab/>
        <w:tab/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bookmarkStart w:id="0" w:name="_GoBack"/>
      <w:bookmarkStart w:id="1" w:name="_GoBack"/>
      <w:bookmarkEnd w:id="1"/>
      <w:r>
        <w:rPr>
          <w:rFonts w:cs="Arial"/>
          <w:sz w:val="24"/>
          <w:szCs w:val="24"/>
        </w:rPr>
      </w:r>
      <w:r/>
    </w:p>
    <w:p>
      <w:pPr>
        <w:pStyle w:val="Normal"/>
        <w:spacing w:before="0" w:after="120"/>
        <w:jc w:val="both"/>
        <w:rPr>
          <w:sz w:val="24"/>
          <w:sz w:val="24"/>
          <w:szCs w:val="24"/>
          <w:rFonts w:ascii="Arial" w:hAnsi="Arial" w:eastAsia="Times New Roman" w:cs="Arial"/>
          <w:lang w:eastAsia="de-DE"/>
        </w:rPr>
      </w:pPr>
      <w:r>
        <w:rPr>
          <w:rFonts w:cs="Arial"/>
          <w:sz w:val="24"/>
          <w:szCs w:val="24"/>
        </w:rPr>
      </w:r>
      <w:r/>
    </w:p>
    <w:p>
      <w:pPr>
        <w:pStyle w:val="ListParagraph"/>
        <w:ind w:left="1080" w:hanging="0"/>
        <w:rPr>
          <w:szCs w:val="20"/>
          <w:rFonts w:ascii="Arial" w:hAnsi="Arial" w:eastAsia="Times New Roman" w:cs="Times New Roman"/>
          <w:lang w:eastAsia="de-DE"/>
        </w:rPr>
      </w:pPr>
      <w:r>
        <w:rPr/>
      </w:r>
      <w:r/>
    </w:p>
    <w:sectPr>
      <w:type w:val="nextPage"/>
      <w:pgSz w:w="11906" w:h="16838"/>
      <w:pgMar w:left="1417" w:right="1417" w:header="0" w:top="709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uiPriority="0" w:qFormat="1" w:name="Normal"/>
    <w:lsdException w:uiPriority="9" w:qFormat="1" w:name="heading 1"/>
    <w:lsdException w:semiHidden="1" w:uiPriority="9" w:qFormat="1" w:unhideWhenUsed="1" w:name="heading 2"/>
    <w:lsdException w:semiHidden="1" w:uiPriority="9" w:qFormat="1" w:unhideWhenUsed="1" w:name="heading 3"/>
    <w:lsdException w:semiHidden="1" w:uiPriority="9" w:qFormat="1" w:unhideWhenUsed="1" w:name="heading 4"/>
    <w:lsdException w:semiHidden="1" w:uiPriority="9" w:qFormat="1" w:unhideWhenUsed="1" w:name="heading 5"/>
    <w:lsdException w:semiHidden="1" w:uiPriority="9" w:qFormat="1" w:unhideWhenUsed="1" w:name="heading 6"/>
    <w:lsdException w:semiHidden="1" w:uiPriority="9" w:qFormat="1" w:unhideWhenUsed="1" w:name="heading 7"/>
    <w:lsdException w:semiHidden="1" w:uiPriority="9" w:qFormat="1" w:unhideWhenUsed="1" w:name="heading 8"/>
    <w:lsdException w:semiHidden="1" w:uiPriority="9" w:qFormat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semiHidden="1" w:uiPriority="35" w:qFormat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qFormat="1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qFormat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uiPriority="22" w:qFormat="1" w:name="Strong"/>
    <w:lsdException w:uiPriority="20"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uiPriority="1" w:qFormat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uiPriority="34" w:qFormat="1" w:name="List Paragraph"/>
    <w:lsdException w:uiPriority="29" w:qFormat="1" w:name="Quote"/>
    <w:lsdException w:uiPriority="30" w:qFormat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qFormat="1" w:name="Subtle Emphasis"/>
    <w:lsdException w:uiPriority="21" w:qFormat="1" w:name="Intense Emphasis"/>
    <w:lsdException w:uiPriority="31" w:qFormat="1" w:name="Subtle Reference"/>
    <w:lsdException w:uiPriority="32" w:qFormat="1" w:name="Intense Reference"/>
    <w:lsdException w:uiPriority="33" w:qFormat="1" w:name="Book Title"/>
    <w:lsdException w:semiHidden="1" w:uiPriority="37" w:unhideWhenUsed="1" w:name="Bibliography"/>
    <w:lsdException w:semiHidden="1" w:uiPriority="39" w:qFormat="1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70b2f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sz w:val="22"/>
      <w:szCs w:val="20"/>
      <w:lang w:eastAsia="de-DE" w:val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nnotationreference">
    <w:name w:val="annotation reference"/>
    <w:basedOn w:val="DefaultParagraphFont"/>
    <w:uiPriority w:val="99"/>
    <w:semiHidden/>
    <w:unhideWhenUsed/>
    <w:rsid w:val="0097597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rsid w:val="00975974"/>
    <w:rPr>
      <w:rFonts w:ascii="Arial" w:hAnsi="Arial" w:eastAsia="Times New Roman" w:cs="Times New Roman"/>
      <w:sz w:val="20"/>
      <w:szCs w:val="20"/>
      <w:lang w:eastAsia="de-DE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975974"/>
    <w:rPr>
      <w:rFonts w:ascii="Arial" w:hAnsi="Arial" w:eastAsia="Times New Roman" w:cs="Times New Roman"/>
      <w:b/>
      <w:bCs/>
      <w:sz w:val="20"/>
      <w:szCs w:val="20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975974"/>
    <w:rPr>
      <w:rFonts w:ascii="Tahoma" w:hAnsi="Tahoma" w:eastAsia="Times New Roman" w:cs="Tahoma"/>
      <w:sz w:val="16"/>
      <w:szCs w:val="16"/>
      <w:lang w:eastAsia="de-DE"/>
    </w:rPr>
  </w:style>
  <w:style w:type="character" w:styleId="Internetlink">
    <w:name w:val="Internetlink"/>
    <w:basedOn w:val="DefaultParagraphFont"/>
    <w:uiPriority w:val="99"/>
    <w:unhideWhenUsed/>
    <w:rsid w:val="0029036d"/>
    <w:rPr>
      <w:color w:val="0000FF" w:themeColor="hyperlink"/>
      <w:u w:val="single"/>
      <w:lang w:val="zxx" w:eastAsia="zxx" w:bidi="zxx"/>
    </w:rPr>
  </w:style>
  <w:style w:type="character" w:styleId="BesuchterInternetlink">
    <w:name w:val="Besuchter Internetlink"/>
    <w:rPr>
      <w:color w:val="80000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70b2f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rsid w:val="00975974"/>
    <w:pPr/>
    <w:rPr>
      <w:sz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rsid w:val="00975974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rsid w:val="0097597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th.uni-freiburg.de/lehre/dokumente/promotionsordnung-fr-2016.pdf" TargetMode="External"/><Relationship Id="rId3" Type="http://schemas.openxmlformats.org/officeDocument/2006/relationships/hyperlink" Target="http://www.math.uni-freiburg.de/lehre/dokumente/Antrag_Eroeffnung_PromVer_PromO_2016.doc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AA4B7-E264-400D-AD36-2EDD936B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2016-06-07T07:32:00Z</dcterms:created>
  <dc:creator>Birgit Seger</dc:creator>
  <dc:language>de-DE</dc:language>
  <cp:lastModifiedBy>Philipp Falk</cp:lastModifiedBy>
  <cp:lastPrinted>2016-06-07T07:28:00Z</cp:lastPrinted>
  <dcterms:modified xsi:type="dcterms:W3CDTF">2016-06-07T14:14:45Z</dcterms:modified>
  <cp:revision>3</cp:revision>
</cp:coreProperties>
</file>