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Frage des Nutzers</w:t>
      </w:r>
    </w:p>
    <w:p>
      <w:pPr>
        <w:pStyle w:val="BlockText"/>
      </w:pPr>
      <w:r>
        <w:t xml:space="preserve">Ich arbeite in der Regionalverwaltung, mache 3 mal die Woche Homeoffice und logge mich 13 h ein, wenn ich im Homeoffice bin. Darf mein Arbeitgeber irgendwie prüfen, ob ich überhaupt arbeite, was ich mache usw?</w:t>
      </w:r>
    </w:p>
    <w:p>
      <w:r>
        <w:pict>
          <v:rect style="width:0;height:1.5pt" o:hralign="center" o:hrstd="t" o:hr="t"/>
        </w:pict>
      </w:r>
    </w:p>
    <w:bookmarkStart w:id="20" w:name="kurzfazit"/>
    <w:p>
      <w:pPr>
        <w:pStyle w:val="Heading3"/>
      </w:pPr>
      <w:r>
        <w:t xml:space="preserve">Kurzfazit</w:t>
      </w:r>
    </w:p>
    <w:p>
      <w:pPr>
        <w:pStyle w:val="FirstParagraph"/>
      </w:pPr>
      <w:r>
        <w:t xml:space="preserve">Ja, Ihr Arbeitgeber darf Kontrollen durchführen –</w:t>
      </w:r>
      <w:r>
        <w:t xml:space="preserve"> </w:t>
      </w:r>
      <w:r>
        <w:rPr>
          <w:b/>
          <w:bCs/>
        </w:rPr>
        <w:t xml:space="preserve">aber nur in engen, klar geregelten Grenzen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Arbeitszeitkontrolle</w:t>
      </w:r>
      <w:r>
        <w:t xml:space="preserve"> </w:t>
      </w:r>
      <w:r>
        <w:t xml:space="preserve">ist sogar Pflicht: Bei mobiler Arbeit müssen Beginn, Ende und Dauer jeder Tagesarbeitszeit aufgezeichnet werden. Die Aufzeichnung kann Ihnen zwar übertragen werden, rechtlich bleibt der Arbeitgeber verantwortlich.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Höchstarbeitszeit</w:t>
      </w:r>
      <w:r>
        <w:t xml:space="preserve">: Mehr als 10 Stunden täglich sind verboten; ein „Einloggen“ über 13 Stunden löst einen Prüf‑ und Korrekturauftrag des Arbeitgebers aus.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Ergebnis‑ und Erreichbarkeitskontrollen</w:t>
      </w:r>
      <w:r>
        <w:t xml:space="preserve"> </w:t>
      </w:r>
      <w:r>
        <w:t xml:space="preserve">(z. B. Stichproben, vereinbarte Anrufe) sind zulässig.</w:t>
      </w:r>
      <w:r>
        <w:t xml:space="preserve"> </w:t>
      </w:r>
      <w:r>
        <w:rPr>
          <w:b/>
          <w:bCs/>
        </w:rPr>
        <w:t xml:space="preserve">Permanente Überwachung</w:t>
      </w:r>
      <w:r>
        <w:t xml:space="preserve"> </w:t>
      </w:r>
      <w:r>
        <w:t xml:space="preserve">(Webcam‑Stream, Keylogger, GPS‑Tracking) ist dagegen nur bei einem konkreten Missbrauchsverdacht und nach Beteiligung der MAV sowie unter strengen Datenschutzvorgaben erlaubt.</w:t>
      </w:r>
    </w:p>
    <w:p>
      <w:pPr>
        <w:pStyle w:val="FirstParagraph"/>
      </w:pPr>
      <w:r>
        <w:t xml:space="preserve">Ob Ihr Arbeitgeber also „sehen darf, was Sie gerade machen“, hängt von</w:t>
      </w:r>
      <w:r>
        <w:t xml:space="preserve"> </w:t>
      </w:r>
      <w:r>
        <w:rPr>
          <w:b/>
          <w:bCs/>
        </w:rPr>
        <w:t xml:space="preserve">Verhältnismäßigkeit, Datenschutz und Mitbestimmung</w:t>
      </w:r>
      <w:r>
        <w:t xml:space="preserve"> </w:t>
      </w:r>
      <w:r>
        <w:t xml:space="preserve">ab.</w:t>
      </w:r>
    </w:p>
    <w:p>
      <w:r>
        <w:pict>
          <v:rect style="width:0;height:1.5pt" o:hralign="center" o:hrstd="t" o:hr="t"/>
        </w:pict>
      </w:r>
    </w:p>
    <w:bookmarkEnd w:id="20"/>
    <w:bookmarkStart w:id="21" w:name="X332444b3a481470edadf0b2472ec2401188edf7"/>
    <w:p>
      <w:pPr>
        <w:pStyle w:val="Heading2"/>
      </w:pPr>
      <w:r>
        <w:t xml:space="preserve">1 Analyse Ihrer Ausgangsfrage – Optimierung &amp; Rückfragen</w:t>
      </w:r>
    </w:p>
    <w:p>
      <w:pPr>
        <w:pStyle w:val="FirstParagraph"/>
      </w:pPr>
      <w:r>
        <w:t xml:space="preserve">Um die Antwort treffsicher auszugestalten, wären folgende Klarstellungen hilfreich: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20"/>
        <w:gridCol w:w="540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Punkt</w:t>
            </w:r>
          </w:p>
        </w:tc>
        <w:tc>
          <w:tcPr/>
          <w:p>
            <w:pPr>
              <w:pStyle w:val="Compact"/>
            </w:pPr>
            <w:r>
              <w:t xml:space="preserve">Klärungsbedarf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Zeiterfassungsmodell</w:t>
            </w:r>
          </w:p>
        </w:tc>
        <w:tc>
          <w:tcPr/>
          <w:p>
            <w:pPr>
              <w:pStyle w:val="Compact"/>
            </w:pPr>
            <w:r>
              <w:t xml:space="preserve">Vertrauensarbeitszeit oder feste 39‑h‑Woche?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Technische Tools</w:t>
            </w:r>
          </w:p>
        </w:tc>
        <w:tc>
          <w:tcPr/>
          <w:p>
            <w:pPr>
              <w:pStyle w:val="Compact"/>
            </w:pPr>
            <w:r>
              <w:t xml:space="preserve">Werden bereits VPN‑Logfiles, MS‑Teams‑Status oder Ticketsystem‑Reports genutzt?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Beteiligung der MAV</w:t>
            </w:r>
          </w:p>
        </w:tc>
        <w:tc>
          <w:tcPr/>
          <w:p>
            <w:pPr>
              <w:pStyle w:val="Compact"/>
            </w:pPr>
            <w:r>
              <w:t xml:space="preserve">Gibt es eine Dienstvereinbarung zur mobilen Arbeit oder IT‑Nutzung?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Datenschutzeinwilligungen</w:t>
            </w:r>
          </w:p>
        </w:tc>
        <w:tc>
          <w:tcPr/>
          <w:p>
            <w:pPr>
              <w:pStyle w:val="Compact"/>
            </w:pPr>
            <w:r>
              <w:t xml:space="preserve">Haben Sie einer Aufzeichnung personenbezogener Nutzungsdaten zugestimmt?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1"/>
    <w:bookmarkStart w:id="26" w:name="antwort-unter-typischen-annahmen"/>
    <w:p>
      <w:pPr>
        <w:pStyle w:val="Heading2"/>
      </w:pPr>
      <w:r>
        <w:t xml:space="preserve">2 Antwort unter typischen Annahmen</w:t>
      </w:r>
    </w:p>
    <w:p>
      <w:pPr>
        <w:pStyle w:val="FirstParagraph"/>
      </w:pPr>
      <w:r>
        <w:rPr>
          <w:i/>
          <w:iCs/>
        </w:rPr>
        <w:t xml:space="preserve">(Vollzeit 39 h, mobile Arbeit an drei Tagen pro Woche; keine spezielle Dienstvereinbarung; verdachtsloser Normalfall)</w:t>
      </w:r>
    </w:p>
    <w:bookmarkStart w:id="22" w:name="zulässige-kontrollformen"/>
    <w:p>
      <w:pPr>
        <w:pStyle w:val="Heading3"/>
      </w:pPr>
      <w:r>
        <w:t xml:space="preserve">2.1 Zulässige Kontrollformen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06"/>
        <w:gridCol w:w="2493"/>
        <w:gridCol w:w="1613"/>
        <w:gridCol w:w="190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Kontrollart</w:t>
            </w:r>
          </w:p>
        </w:tc>
        <w:tc>
          <w:tcPr/>
          <w:p>
            <w:pPr>
              <w:pStyle w:val="Compact"/>
            </w:pPr>
            <w:r>
              <w:t xml:space="preserve">Rechtsgrundlage</w:t>
            </w:r>
          </w:p>
        </w:tc>
        <w:tc>
          <w:tcPr/>
          <w:p>
            <w:pPr>
              <w:pStyle w:val="Compact"/>
            </w:pPr>
            <w:r>
              <w:t xml:space="preserve">Zulässig?</w:t>
            </w:r>
          </w:p>
        </w:tc>
        <w:tc>
          <w:tcPr/>
          <w:p>
            <w:pPr>
              <w:pStyle w:val="Compact"/>
            </w:pPr>
            <w:r>
              <w:t xml:space="preserve">Bedingungen</w:t>
            </w:r>
          </w:p>
        </w:tc>
      </w:tr>
      <w:tr>
        <w:tc>
          <w:tcPr/>
          <w:p>
            <w:pPr>
              <w:pStyle w:val="Compact"/>
            </w:pPr>
            <w:r>
              <w:t xml:space="preserve">Pflicht</w:t>
            </w:r>
            <w:r>
              <w:softHyphen/>
            </w:r>
            <w:r>
              <w:t xml:space="preserve">mäßige Zeiterfassung (Beginn, Ende, Dauer)</w:t>
            </w:r>
          </w:p>
        </w:tc>
        <w:tc>
          <w:tcPr/>
          <w:p>
            <w:pPr>
              <w:pStyle w:val="Compact"/>
            </w:pPr>
            <w:r>
              <w:t xml:space="preserve">ArbZG § 3 i. V. m. kirchl. Arbeitsrechtsregelung Mobile Arbeit</w:t>
            </w:r>
          </w:p>
        </w:tc>
        <w:tc>
          <w:tcPr/>
          <w:p>
            <w:pPr>
              <w:pStyle w:val="Compact"/>
            </w:pPr>
            <w:r>
              <w:t xml:space="preserve">✔</w:t>
            </w:r>
          </w:p>
        </w:tc>
        <w:tc>
          <w:tcPr/>
          <w:p>
            <w:pPr>
              <w:pStyle w:val="Compact"/>
            </w:pPr>
            <w:r>
              <w:t xml:space="preserve">Mitarbeitende können selbst buchen; Arbeitgeber prüft Plausibilität</w:t>
            </w:r>
          </w:p>
        </w:tc>
      </w:tr>
      <w:tr>
        <w:tc>
          <w:tcPr/>
          <w:p>
            <w:pPr>
              <w:pStyle w:val="Compact"/>
            </w:pPr>
            <w:r>
              <w:t xml:space="preserve">Plausibilitäts‑Checks (13‑h‑Einträge vs. 10‑h‑Grenze)</w:t>
            </w:r>
          </w:p>
        </w:tc>
        <w:tc>
          <w:tcPr/>
          <w:p>
            <w:pPr>
              <w:pStyle w:val="Compact"/>
            </w:pPr>
            <w:r>
              <w:t xml:space="preserve">ArbZG § 3, § 16</w:t>
            </w:r>
          </w:p>
        </w:tc>
        <w:tc>
          <w:tcPr/>
          <w:p>
            <w:pPr>
              <w:pStyle w:val="Compact"/>
            </w:pPr>
            <w:r>
              <w:t xml:space="preserve">✔</w:t>
            </w:r>
          </w:p>
        </w:tc>
        <w:tc>
          <w:tcPr/>
          <w:p>
            <w:pPr>
              <w:pStyle w:val="Compact"/>
            </w:pPr>
            <w:r>
              <w:t xml:space="preserve">Arbeitgeber muss Überschreitungen abmahnen/korrigieren</w:t>
            </w:r>
          </w:p>
        </w:tc>
      </w:tr>
      <w:tr>
        <w:tc>
          <w:tcPr/>
          <w:p>
            <w:pPr>
              <w:pStyle w:val="Compact"/>
            </w:pPr>
            <w:r>
              <w:t xml:space="preserve">Erreichbarkeits‑Checks (Anruf, Chat‑Ping)</w:t>
            </w:r>
          </w:p>
        </w:tc>
        <w:tc>
          <w:tcPr/>
          <w:p>
            <w:pPr>
              <w:pStyle w:val="Compact"/>
            </w:pPr>
            <w:r>
              <w:t xml:space="preserve">Vereinbarung über mobile Arbeit</w:t>
            </w:r>
          </w:p>
        </w:tc>
        <w:tc>
          <w:tcPr/>
          <w:p>
            <w:pPr>
              <w:pStyle w:val="Compact"/>
            </w:pPr>
            <w:r>
              <w:t xml:space="preserve">✔</w:t>
            </w:r>
          </w:p>
        </w:tc>
        <w:tc>
          <w:tcPr/>
          <w:p>
            <w:pPr>
              <w:pStyle w:val="Compact"/>
            </w:pPr>
            <w:r>
              <w:t xml:space="preserve">Nur in vereinbarten Zeitfenstern; keine Dauerüberwachung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VPN/Server‑Logfiles (Login‑Zeiten)</w:t>
            </w:r>
          </w:p>
        </w:tc>
        <w:tc>
          <w:tcPr/>
          <w:p>
            <w:pPr>
              <w:pStyle w:val="Compact"/>
            </w:pPr>
            <w:r>
              <w:t xml:space="preserve">DS‑EKD § 6 Abs. 1, DSGVO Art. 6 (1) b</w:t>
            </w:r>
          </w:p>
        </w:tc>
        <w:tc>
          <w:tcPr/>
          <w:p>
            <w:pPr>
              <w:pStyle w:val="Compact"/>
            </w:pPr>
            <w:r>
              <w:t xml:space="preserve">✔</w:t>
            </w:r>
          </w:p>
        </w:tc>
        <w:tc>
          <w:tcPr/>
          <w:p>
            <w:pPr>
              <w:pStyle w:val="Compact"/>
            </w:pPr>
            <w:r>
              <w:t xml:space="preserve">Zweckbindung „IT‑Betrieb“ &amp; Arbeitszeitkontrolle, Löschfristen, MAV‑Beteiligung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Dauer‑Screenshots, Keylogger, Webcam‑Stream</w:t>
            </w:r>
          </w:p>
        </w:tc>
        <w:tc>
          <w:tcPr/>
          <w:p>
            <w:pPr>
              <w:pStyle w:val="Compact"/>
            </w:pPr>
            <w:r>
              <w:t xml:space="preserve">BAG 30.08.2017 – 2 AZR 865/16, DS‑EKD/DSGVO</w:t>
            </w:r>
          </w:p>
        </w:tc>
        <w:tc>
          <w:tcPr/>
          <w:p>
            <w:pPr>
              <w:pStyle w:val="Compact"/>
            </w:pPr>
            <w:r>
              <w:t xml:space="preserve">✖ (grundsätzlich)</w:t>
            </w:r>
          </w:p>
        </w:tc>
        <w:tc>
          <w:tcPr/>
          <w:p>
            <w:pPr>
              <w:pStyle w:val="Compact"/>
            </w:pPr>
            <w:r>
              <w:t xml:space="preserve">Nur bei konkretem Verdacht schwerer Pflichtverletzung + MAV‑Zustimmung + Verhältnismäßigkeit</w:t>
            </w:r>
          </w:p>
        </w:tc>
      </w:tr>
      <w:tr>
        <w:tc>
          <w:tcPr/>
          <w:p>
            <w:pPr>
              <w:pStyle w:val="Compact"/>
            </w:pPr>
            <w:r>
              <w:t xml:space="preserve">GPS‑Ortung Diensthandy</w:t>
            </w:r>
          </w:p>
        </w:tc>
        <w:tc>
          <w:tcPr/>
          <w:p>
            <w:pPr>
              <w:pStyle w:val="Compact"/>
            </w:pPr>
            <w:r>
              <w:t xml:space="preserve">DS‑EKD, DSGVO</w:t>
            </w:r>
          </w:p>
        </w:tc>
        <w:tc>
          <w:tcPr/>
          <w:p>
            <w:pPr>
              <w:pStyle w:val="Compact"/>
            </w:pPr>
            <w:r>
              <w:t xml:space="preserve">✖</w:t>
            </w:r>
          </w:p>
        </w:tc>
        <w:tc>
          <w:tcPr/>
          <w:p>
            <w:pPr>
              <w:pStyle w:val="Compact"/>
            </w:pPr>
            <w:r>
              <w:t xml:space="preserve">Nur zulässig, wenn zwingend betrieblich (z. B. Pflegedienst‑Routen); Homeoffice i. d. R. unverhältnismäßig</w:t>
            </w:r>
          </w:p>
        </w:tc>
      </w:tr>
    </w:tbl>
    <w:bookmarkEnd w:id="22"/>
    <w:bookmarkStart w:id="23" w:name="rolle-der-mitarbeitervertretung-mav"/>
    <w:p>
      <w:pPr>
        <w:pStyle w:val="Heading3"/>
      </w:pPr>
      <w:r>
        <w:t xml:space="preserve">2.2 Rolle der Mitarbeitervertretung (MAV)</w:t>
      </w:r>
    </w:p>
    <w:p>
      <w:pPr>
        <w:pStyle w:val="Compact"/>
        <w:numPr>
          <w:ilvl w:val="0"/>
          <w:numId w:val="1002"/>
        </w:numPr>
      </w:pPr>
      <w:r>
        <w:t xml:space="preserve">Einführung oder Änderung technischer Einrichtungen, die Verhalten oder Leistung überwachen können,</w:t>
      </w:r>
      <w:r>
        <w:t xml:space="preserve"> </w:t>
      </w:r>
      <w:r>
        <w:rPr>
          <w:b/>
          <w:bCs/>
        </w:rPr>
        <w:t xml:space="preserve">bedarf zwingend der Mitbestimmung</w:t>
      </w:r>
      <w:r>
        <w:t xml:space="preserve"> </w:t>
      </w:r>
      <w:r>
        <w:t xml:space="preserve">(MAVG § 40 Abs. 1 Nr. 13).</w:t>
      </w:r>
    </w:p>
    <w:p>
      <w:pPr>
        <w:pStyle w:val="Compact"/>
        <w:numPr>
          <w:ilvl w:val="0"/>
          <w:numId w:val="1002"/>
        </w:numPr>
      </w:pPr>
      <w:r>
        <w:t xml:space="preserve">Ohne MAV‑Beschluss sind Keylogger, Dauer‑Screen‑Capturing oder GPS‑Tracking</w:t>
      </w:r>
      <w:r>
        <w:t xml:space="preserve"> </w:t>
      </w:r>
      <w:r>
        <w:rPr>
          <w:b/>
          <w:bCs/>
        </w:rPr>
        <w:t xml:space="preserve">rechtswidrig</w:t>
      </w:r>
      <w:r>
        <w:t xml:space="preserve"> </w:t>
      </w:r>
      <w:r>
        <w:t xml:space="preserve">und können zur Unterlassungsklage führen.</w:t>
      </w:r>
    </w:p>
    <w:bookmarkEnd w:id="23"/>
    <w:bookmarkStart w:id="24" w:name="datenschutzrechtliche-schranken"/>
    <w:p>
      <w:pPr>
        <w:pStyle w:val="Heading3"/>
      </w:pPr>
      <w:r>
        <w:t xml:space="preserve">2.3 Datenschutzrechtliche Schranken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Rechtsgrundlagen</w:t>
      </w:r>
      <w:r>
        <w:t xml:space="preserve">: DSGVO Art. 6 (1) b, c sowie DS‑EKD § 49.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Datenminimierung</w:t>
      </w:r>
      <w:r>
        <w:t xml:space="preserve">: Nur so viel Aufsicht wie nötig, keine permanente Verhaltensanalyse.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Transparenzpflicht</w:t>
      </w:r>
      <w:r>
        <w:t xml:space="preserve">: Vor Einsatz muss schriftlich informiert werden (Verarbeitungsverzeichnis, IT‑Richtlinie).</w:t>
      </w:r>
    </w:p>
    <w:bookmarkEnd w:id="24"/>
    <w:bookmarkStart w:id="25" w:name="arbeitszeitrechtliche-grenzen"/>
    <w:p>
      <w:pPr>
        <w:pStyle w:val="Heading3"/>
      </w:pPr>
      <w:r>
        <w:t xml:space="preserve">2.4 Arbeitszeitrechtliche Grenzen</w:t>
      </w:r>
    </w:p>
    <w:p>
      <w:pPr>
        <w:pStyle w:val="FirstParagraph"/>
      </w:pPr>
      <w:r>
        <w:rPr>
          <w:i/>
          <w:iCs/>
        </w:rPr>
        <w:t xml:space="preserve">13‑h‑Buchungen überschreiten das 10‑h‑Limit (§ 3 ArbZG). Der Arbeitgeber muss dies unterbinden; ansonsten drohen Bußgelder der Arbeitsschutzbehörde.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7" w:name="procontraabwägung"/>
    <w:p>
      <w:pPr>
        <w:pStyle w:val="Heading2"/>
      </w:pPr>
      <w:r>
        <w:t xml:space="preserve">3 Pro‑/Contra‑Abwägung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72"/>
        <w:gridCol w:w="2015"/>
        <w:gridCol w:w="403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Perspektive</w:t>
            </w:r>
          </w:p>
        </w:tc>
        <w:tc>
          <w:tcPr/>
          <w:p>
            <w:pPr>
              <w:pStyle w:val="Compact"/>
            </w:pPr>
            <w:r>
              <w:t xml:space="preserve">Pro Kontrolle</w:t>
            </w:r>
          </w:p>
        </w:tc>
        <w:tc>
          <w:tcPr/>
          <w:p>
            <w:pPr>
              <w:pStyle w:val="Compact"/>
            </w:pPr>
            <w:r>
              <w:t xml:space="preserve">Contra Kontrolle / Risiken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Arbeitgeber</w:t>
            </w:r>
          </w:p>
        </w:tc>
        <w:tc>
          <w:tcPr/>
          <w:p>
            <w:pPr>
              <w:pStyle w:val="Compact"/>
            </w:pPr>
            <w:r>
              <w:t xml:space="preserve">• Einhaltung ArbZG</w:t>
            </w:r>
            <w:r>
              <w:t xml:space="preserve">• Nachweis produktiver Arbeitszeit</w:t>
            </w:r>
            <w:r>
              <w:t xml:space="preserve">• Revisionssichere Abrechnung</w:t>
            </w:r>
          </w:p>
        </w:tc>
        <w:tc>
          <w:tcPr/>
          <w:p>
            <w:pPr>
              <w:pStyle w:val="Compact"/>
            </w:pPr>
            <w:r>
              <w:t xml:space="preserve">• Datenschutz‑Bußgelder bei Over‑Monitoring</w:t>
            </w:r>
            <w:r>
              <w:t xml:space="preserve">• Vertrauensverlust, Motivationseinbruch</w:t>
            </w:r>
            <w:r>
              <w:t xml:space="preserve">• Mitbestimmungs‑verletzungen (MAV)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Arbeitnehmer</w:t>
            </w:r>
          </w:p>
        </w:tc>
        <w:tc>
          <w:tcPr/>
          <w:p>
            <w:pPr>
              <w:pStyle w:val="Compact"/>
            </w:pPr>
            <w:r>
              <w:t xml:space="preserve">• Transparenz eigener Arbeitsleistung</w:t>
            </w:r>
            <w:r>
              <w:t xml:space="preserve">• Rechtssicherheit bei Überstunden</w:t>
            </w:r>
            <w:r>
              <w:softHyphen/>
            </w:r>
            <w:r>
              <w:t xml:space="preserve">ausgleich</w:t>
            </w:r>
          </w:p>
        </w:tc>
        <w:tc>
          <w:tcPr/>
          <w:p>
            <w:pPr>
              <w:pStyle w:val="Compact"/>
            </w:pPr>
            <w:r>
              <w:t xml:space="preserve">• Eingriff in Privatsphäre bei exzessiven Maßnahmen</w:t>
            </w:r>
            <w:r>
              <w:t xml:space="preserve">• Gefahr unbezahlter Mehrarbeit (13 h)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7"/>
    <w:bookmarkStart w:id="28" w:name="ergebnis"/>
    <w:p>
      <w:pPr>
        <w:pStyle w:val="Heading2"/>
      </w:pPr>
      <w:r>
        <w:t xml:space="preserve">4 Ergebnis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Zeiterfassung</w:t>
      </w:r>
      <w:r>
        <w:t xml:space="preserve"> </w:t>
      </w:r>
      <w:r>
        <w:t xml:space="preserve">darf (und muss) der Arbeitgeber prüfen; 13‑h‑Einträge müssen korrigiert werden.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Weitergehende Überwachung</w:t>
      </w:r>
      <w:r>
        <w:t xml:space="preserve"> </w:t>
      </w:r>
      <w:r>
        <w:t xml:space="preserve">ist nur zulässig, wenn technisch erforderlich, verhältnismäßig, transparent und mitbestimmt.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Permanent‑Monitoring</w:t>
      </w:r>
      <w:r>
        <w:t xml:space="preserve"> </w:t>
      </w:r>
      <w:r>
        <w:t xml:space="preserve">(Screenshots, Keylogger, Kamera‑Stream) wäre in Ihrem Szenario rechtswidrig.</w:t>
      </w:r>
    </w:p>
    <w:p>
      <w:r>
        <w:pict>
          <v:rect style="width:0;height:1.5pt" o:hralign="center" o:hrstd="t" o:hr="t"/>
        </w:pict>
      </w:r>
    </w:p>
    <w:bookmarkEnd w:id="28"/>
    <w:bookmarkStart w:id="29" w:name="weiteres-vorgehen-wahlmöglichkeiten"/>
    <w:p>
      <w:pPr>
        <w:pStyle w:val="Heading2"/>
      </w:pPr>
      <w:r>
        <w:t xml:space="preserve">Weiteres Vorgehen – Wahlmöglichkeiten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Dienstvereinbarung</w:t>
      </w:r>
      <w:r>
        <w:t xml:space="preserve"> </w:t>
      </w:r>
      <w:r>
        <w:t xml:space="preserve">„IT‑Kontrolle &amp; Homeoffice“ entwerfen?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Muster‑Einwilligung</w:t>
      </w:r>
      <w:r>
        <w:t xml:space="preserve"> </w:t>
      </w:r>
      <w:r>
        <w:t xml:space="preserve">nach DS‑EKD/DSGVO für VPN‑Log‑Auswertungen vorbereiten?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Verteidigungsstrategie</w:t>
      </w:r>
      <w:r>
        <w:t xml:space="preserve"> </w:t>
      </w:r>
      <w:r>
        <w:t xml:space="preserve">gegen heimliche Überwachung erarbeiten?</w:t>
      </w:r>
    </w:p>
    <w:p>
      <w:pPr>
        <w:pStyle w:val="BlockText"/>
      </w:pPr>
      <w:r>
        <w:rPr>
          <w:b/>
          <w:bCs/>
        </w:rPr>
        <w:t xml:space="preserve">Bitte teilen Sie mir mit, welchen Schwerpunkt Sie vertiefen möchten!</w:t>
      </w:r>
    </w:p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2025-07-29T20:00:21Z</dcterms:created>
  <dcterms:modified xsi:type="dcterms:W3CDTF">2025-07-29T20:00:21Z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