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i w:val="0"/>
          <w:color w:val="6C7A89"/>
          <w:sz w:val="22"/>
        </w:rPr>
        <w:t>EINLEGER · LAUSBERG-HEFT</w:t>
      </w:r>
    </w:p>
    <w:p>
      <w:pPr>
        <w:jc w:val="center"/>
      </w:pPr>
      <w:r>
        <w:rPr>
          <w:rFonts w:ascii="Aptos" w:hAnsi="Aptos" w:eastAsia="Aptos"/>
          <w:b/>
          <w:i w:val="0"/>
          <w:color w:val="17365D"/>
          <w:sz w:val="44"/>
        </w:rPr>
        <w:t>METAPHER</w:t>
      </w:r>
    </w:p>
    <w:p>
      <w:pPr>
        <w:jc w:val="center"/>
      </w:pPr>
      <w:r>
        <w:rPr>
          <w:rFonts w:ascii="Aptos" w:hAnsi="Aptos" w:eastAsia="Aptos"/>
          <w:b w:val="0"/>
          <w:i/>
          <w:color w:val="44546A"/>
          <w:sz w:val="21"/>
        </w:rPr>
        <w:t>μεταφορά (metaphora) · translatio · Grundtropus der Bedeutungsübertragung</w:t>
      </w:r>
    </w:p>
    <w:tbl>
      <w:tblPr>
        <w:tblW w:type="auto" w:w="0"/>
        <w:jc w:val="center"/>
        <w:tblLayout w:type="fixed"/>
        <w:tblLook w:firstColumn="1" w:firstRow="1" w:lastColumn="0" w:lastRow="0" w:noHBand="0" w:noVBand="1" w:val="04A0"/>
      </w:tblPr>
      <w:tblGrid>
        <w:gridCol w:w="9354"/>
      </w:tblGrid>
      <w:tr>
        <w:tc>
          <w:tcPr>
            <w:tcW w:type="dxa" w:w="9972"/>
            <w:shd w:fill="EEF3F8"/>
            <w:tcBorders>
              <w:left w:val="single" w:sz="12" w:color="B7C9E2"/>
              <w:top w:val="single" w:sz="12" w:color="B7C9E2"/>
              <w:right w:val="single" w:sz="12" w:color="B7C9E2"/>
              <w:bottom w:val="single" w:sz="12" w:color="B7C9E2"/>
            </w:tcBorders>
            <w:vAlign w:val="center"/>
          </w:tcPr>
          <w:p>
            <w:pPr>
              <w:spacing w:after="0"/>
            </w:pPr>
            <w:r>
              <w:rPr>
                <w:rFonts w:ascii="Aptos" w:hAnsi="Aptos" w:eastAsia="Aptos"/>
                <w:b/>
                <w:i w:val="0"/>
                <w:color w:val="17365D"/>
                <w:sz w:val="21"/>
              </w:rPr>
              <w:t>Arbeitsprofil dieser Datei</w:t>
            </w:r>
          </w:p>
          <w:p>
            <w:pPr>
              <w:spacing w:after="0"/>
            </w:pPr>
            <w:r>
              <w:rPr>
                <w:rFonts w:ascii="Aptos" w:hAnsi="Aptos" w:eastAsia="Aptos"/>
                <w:b w:val="0"/>
                <w:i w:val="0"/>
                <w:sz w:val="20"/>
              </w:rPr>
              <w:t xml:space="preserve">Diese Fassung bereitet die vier Seiten der Lausberg-PDF systematisch auf und überführt sie in die MEISTERREDNER-Logik: </w:t>
            </w:r>
            <w:r>
              <w:rPr>
                <w:rFonts w:ascii="Aptos" w:hAnsi="Aptos" w:eastAsia="Aptos"/>
                <w:b/>
                <w:i w:val="0"/>
                <w:sz w:val="20"/>
              </w:rPr>
              <w:t>Definition · Untertypen · Grenzfälle · Predigtverwertung · Kompendiums-JSON.</w:t>
            </w:r>
          </w:p>
        </w:tc>
      </w:tr>
    </w:tbl>
    <w:p/>
    <w:p>
      <w:pPr>
        <w:pStyle w:val="Heading1"/>
      </w:pPr>
      <w:r>
        <w:t>Kernraster</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701"/>
            <w:vAlign w:val="center"/>
            <w:tcBorders>
              <w:left w:val="single" w:sz="8" w:color="C9D2DE"/>
              <w:top w:val="single" w:sz="8" w:color="C9D2DE"/>
              <w:right w:val="single" w:sz="8" w:color="C9D2DE"/>
              <w:bottom w:val="single" w:sz="8" w:color="C9D2DE"/>
            </w:tcBorders>
            <w:shd w:fill="DCE6F1"/>
          </w:tcPr>
          <w:p>
            <w:pPr>
              <w:jc w:val="center"/>
            </w:pPr>
            <w:r>
              <w:rPr>
                <w:rFonts w:ascii="Aptos" w:hAnsi="Aptos" w:eastAsia="Aptos"/>
                <w:b/>
                <w:i w:val="0"/>
                <w:color w:val="17365D"/>
                <w:sz w:val="20"/>
              </w:rPr>
              <w:t>Griechisch</w:t>
            </w:r>
          </w:p>
        </w:tc>
        <w:tc>
          <w:tcPr>
            <w:tcW w:type="dxa" w:w="1928"/>
            <w:vAlign w:val="center"/>
            <w:tcBorders>
              <w:left w:val="single" w:sz="8" w:color="C9D2DE"/>
              <w:top w:val="single" w:sz="8" w:color="C9D2DE"/>
              <w:right w:val="single" w:sz="8" w:color="C9D2DE"/>
              <w:bottom w:val="single" w:sz="8" w:color="C9D2DE"/>
            </w:tcBorders>
            <w:shd w:fill="DCE6F1"/>
          </w:tcPr>
          <w:p>
            <w:pPr>
              <w:jc w:val="center"/>
            </w:pPr>
            <w:r>
              <w:rPr>
                <w:rFonts w:ascii="Aptos" w:hAnsi="Aptos" w:eastAsia="Aptos"/>
                <w:b/>
                <w:i w:val="0"/>
                <w:color w:val="17365D"/>
                <w:sz w:val="20"/>
              </w:rPr>
              <w:t>Latein</w:t>
            </w:r>
          </w:p>
        </w:tc>
        <w:tc>
          <w:tcPr>
            <w:tcW w:type="dxa" w:w="3175"/>
            <w:vAlign w:val="center"/>
            <w:tcBorders>
              <w:left w:val="single" w:sz="8" w:color="C9D2DE"/>
              <w:top w:val="single" w:sz="8" w:color="C9D2DE"/>
              <w:right w:val="single" w:sz="8" w:color="C9D2DE"/>
              <w:bottom w:val="single" w:sz="8" w:color="C9D2DE"/>
            </w:tcBorders>
            <w:shd w:fill="DCE6F1"/>
          </w:tcPr>
          <w:p>
            <w:pPr>
              <w:jc w:val="center"/>
            </w:pPr>
            <w:r>
              <w:rPr>
                <w:rFonts w:ascii="Aptos" w:hAnsi="Aptos" w:eastAsia="Aptos"/>
                <w:b/>
                <w:i w:val="0"/>
                <w:color w:val="17365D"/>
                <w:sz w:val="20"/>
              </w:rPr>
              <w:t>Formel</w:t>
            </w:r>
          </w:p>
        </w:tc>
        <w:tc>
          <w:tcPr>
            <w:tcW w:type="dxa" w:w="2551"/>
            <w:vAlign w:val="center"/>
            <w:tcBorders>
              <w:left w:val="single" w:sz="8" w:color="C9D2DE"/>
              <w:top w:val="single" w:sz="8" w:color="C9D2DE"/>
              <w:right w:val="single" w:sz="8" w:color="C9D2DE"/>
              <w:bottom w:val="single" w:sz="8" w:color="C9D2DE"/>
            </w:tcBorders>
            <w:shd w:fill="DCE6F1"/>
          </w:tcPr>
          <w:p>
            <w:pPr>
              <w:jc w:val="center"/>
            </w:pPr>
            <w:r>
              <w:rPr>
                <w:rFonts w:ascii="Aptos" w:hAnsi="Aptos" w:eastAsia="Aptos"/>
                <w:b/>
                <w:i w:val="0"/>
                <w:color w:val="17365D"/>
                <w:sz w:val="20"/>
              </w:rPr>
              <w:t>Kernwirkung</w:t>
            </w:r>
          </w:p>
        </w:tc>
      </w:tr>
      <w:tr>
        <w:tc>
          <w:tcPr>
            <w:tcW w:type="dxa" w:w="1701"/>
            <w:vAlign w:val="center"/>
            <w:tcBorders>
              <w:left w:val="single" w:sz="8" w:color="C9D2DE"/>
              <w:top w:val="single" w:sz="8" w:color="C9D2DE"/>
              <w:right w:val="single" w:sz="8" w:color="C9D2DE"/>
              <w:bottom w:val="single" w:sz="8" w:color="C9D2DE"/>
            </w:tcBorders>
          </w:tcPr>
          <w:p>
            <w:pPr>
              <w:jc w:val="center"/>
            </w:pPr>
            <w:r>
              <w:rPr>
                <w:rFonts w:ascii="Aptos" w:hAnsi="Aptos" w:eastAsia="Aptos"/>
                <w:b w:val="0"/>
                <w:i w:val="0"/>
                <w:sz w:val="20"/>
              </w:rPr>
              <w:t>μεταφορά</w:t>
            </w:r>
          </w:p>
        </w:tc>
        <w:tc>
          <w:tcPr>
            <w:tcW w:type="dxa" w:w="1928"/>
            <w:vAlign w:val="center"/>
            <w:tcBorders>
              <w:left w:val="single" w:sz="8" w:color="C9D2DE"/>
              <w:top w:val="single" w:sz="8" w:color="C9D2DE"/>
              <w:right w:val="single" w:sz="8" w:color="C9D2DE"/>
              <w:bottom w:val="single" w:sz="8" w:color="C9D2DE"/>
            </w:tcBorders>
          </w:tcPr>
          <w:p>
            <w:pPr>
              <w:jc w:val="center"/>
            </w:pPr>
            <w:r>
              <w:rPr>
                <w:rFonts w:ascii="Aptos" w:hAnsi="Aptos" w:eastAsia="Aptos"/>
                <w:b w:val="0"/>
                <w:i w:val="0"/>
                <w:sz w:val="20"/>
              </w:rPr>
              <w:t>translatio / metaphora</w:t>
            </w:r>
          </w:p>
        </w:tc>
        <w:tc>
          <w:tcPr>
            <w:tcW w:type="dxa" w:w="3175"/>
            <w:vAlign w:val="center"/>
            <w:tcBorders>
              <w:left w:val="single" w:sz="8" w:color="C9D2DE"/>
              <w:top w:val="single" w:sz="8" w:color="C9D2DE"/>
              <w:right w:val="single" w:sz="8" w:color="C9D2DE"/>
              <w:bottom w:val="single" w:sz="8" w:color="C9D2DE"/>
            </w:tcBorders>
          </w:tcPr>
          <w:p>
            <w:pPr>
              <w:jc w:val="center"/>
            </w:pPr>
            <w:r>
              <w:rPr>
                <w:rFonts w:ascii="Aptos" w:hAnsi="Aptos" w:eastAsia="Aptos"/>
                <w:b w:val="0"/>
                <w:i w:val="0"/>
                <w:sz w:val="20"/>
              </w:rPr>
              <w:t>A wird durch B ersetzt</w:t>
              <w:br/>
              <w:t>(verkürzter Vergleich, implizite Analogie)</w:t>
            </w:r>
          </w:p>
        </w:tc>
        <w:tc>
          <w:tcPr>
            <w:tcW w:type="dxa" w:w="2551"/>
            <w:vAlign w:val="center"/>
            <w:tcBorders>
              <w:left w:val="single" w:sz="8" w:color="C9D2DE"/>
              <w:top w:val="single" w:sz="8" w:color="C9D2DE"/>
              <w:right w:val="single" w:sz="8" w:color="C9D2DE"/>
              <w:bottom w:val="single" w:sz="8" w:color="C9D2DE"/>
            </w:tcBorders>
          </w:tcPr>
          <w:p>
            <w:pPr>
              <w:jc w:val="center"/>
            </w:pPr>
            <w:r>
              <w:rPr>
                <w:rFonts w:ascii="Aptos" w:hAnsi="Aptos" w:eastAsia="Aptos"/>
                <w:b w:val="0"/>
                <w:i w:val="0"/>
                <w:sz w:val="20"/>
              </w:rPr>
              <w:t>Veranschaulichung · Verdichtung · Affekt · kognitive Aktivierung</w:t>
            </w:r>
          </w:p>
        </w:tc>
      </w:tr>
    </w:tbl>
    <w:p>
      <w:pPr>
        <w:pStyle w:val="Heading1"/>
      </w:pPr>
      <w:r>
        <w:t>Definition</w:t>
      </w:r>
    </w:p>
    <w:p>
      <w:pPr/>
      <w:r>
        <w:rPr>
          <w:rFonts w:ascii="Aptos" w:hAnsi="Aptos" w:eastAsia="Aptos"/>
          <w:b w:val="0"/>
          <w:i w:val="0"/>
          <w:sz w:val="21"/>
        </w:rPr>
        <w:t>Die Metapher ist die Übertragung eines Ausdrucks aus seinem eigentlichen Bedeutungsbereich in einen anderen Bereich aufgrund von Ähnlichkeit oder Analogie.</w:t>
      </w:r>
    </w:p>
    <w:p>
      <w:pPr/>
      <w:r>
        <w:rPr>
          <w:rFonts w:ascii="Aptos" w:hAnsi="Aptos" w:eastAsia="Aptos"/>
          <w:b w:val="0"/>
          <w:i w:val="0"/>
          <w:sz w:val="21"/>
        </w:rPr>
        <w:t>Sie gehört bei Lausberg zu den Tropen, also zu den Bedeutungsverschiebungen, nicht zu den Figuren der Wortstellung oder Wiederholung.</w:t>
      </w:r>
    </w:p>
    <w:p>
      <w:pPr/>
      <w:r>
        <w:rPr>
          <w:rFonts w:ascii="Aptos" w:hAnsi="Aptos" w:eastAsia="Aptos"/>
          <w:b w:val="0"/>
          <w:i w:val="0"/>
          <w:sz w:val="21"/>
        </w:rPr>
        <w:t>Merksatz: Die Metapher sagt nicht „wie“, sondern „ist“.</w:t>
      </w:r>
    </w:p>
    <w:p>
      <w:pPr>
        <w:pStyle w:val="Heading1"/>
      </w:pPr>
      <w:r>
        <w:t>Lausberg-nah | Systematik der Übertragung</w:t>
      </w:r>
    </w:p>
    <w:p>
      <w:pPr/>
      <w:r>
        <w:rPr>
          <w:rFonts w:ascii="Aptos" w:hAnsi="Aptos" w:eastAsia="Aptos"/>
          <w:b w:val="0"/>
          <w:i w:val="0"/>
          <w:sz w:val="21"/>
        </w:rPr>
        <w:t>Lausberg arbeitet mit der klassischen Viererordnung der Metapher: Übertragung vom Genus zur Species, von der Species zum Genus, von einer Species zu einer anderen Species und – als wichtigstem Fall – nach Analogie.</w:t>
      </w:r>
    </w:p>
    <w:p>
      <w:pPr/>
      <w:r>
        <w:rPr>
          <w:rFonts w:ascii="Aptos" w:hAnsi="Aptos" w:eastAsia="Aptos"/>
          <w:b w:val="0"/>
          <w:i w:val="0"/>
          <w:sz w:val="21"/>
        </w:rPr>
        <w:t>Der Analogiefall ist der Kern der Metapher: A verhält sich zu B wie C zu D. Darum kann A durch C ersetzt werden. So entsteht keine bloße Verzierung, sondern eine strukturierte Bedeutungsverschiebung.</w:t>
      </w:r>
    </w:p>
    <w:p>
      <w:pPr/>
      <w:r>
        <w:rPr>
          <w:rFonts w:ascii="Aptos" w:hAnsi="Aptos" w:eastAsia="Aptos"/>
          <w:b w:val="0"/>
          <w:i w:val="0"/>
          <w:sz w:val="21"/>
        </w:rPr>
        <w:t>Gerade dieser Analogiefall ist für Predigten entscheidend, weil er abstrakte Theologie an wahrnehmbare Erfahrungsräume bindet.</w:t>
      </w:r>
    </w:p>
    <w:p>
      <w:pPr>
        <w:pStyle w:val="Heading1"/>
      </w:pPr>
      <w:r>
        <w:t>Originale | Theorieformeln und Schlüsselsätze</w:t>
      </w:r>
    </w:p>
    <w:p>
      <w:pPr/>
      <w:r>
        <w:rPr>
          <w:rFonts w:ascii="Aptos" w:hAnsi="Aptos" w:eastAsia="Aptos"/>
          <w:b w:val="0"/>
          <w:i w:val="0"/>
          <w:sz w:val="21"/>
        </w:rPr>
        <w:t>Quintilian: metaphora brevior est similitudo. – Die Metapher ist ein verkürzter Vergleich.</w:t>
      </w:r>
    </w:p>
    <w:p>
      <w:pPr/>
      <w:r>
        <w:rPr>
          <w:rFonts w:ascii="Aptos" w:hAnsi="Aptos" w:eastAsia="Aptos"/>
          <w:b w:val="0"/>
          <w:i w:val="0"/>
          <w:sz w:val="21"/>
        </w:rPr>
        <w:t>Lausberg-nah zusammengefasst: Zwischen metaphorischer Bezeichnung und Bezeichnetem muss eine similarity bestehen; die Metapher lebt von Analogie, nicht von bloßer Willkür.</w:t>
      </w:r>
    </w:p>
    <w:p>
      <w:pPr/>
      <w:r>
        <w:rPr>
          <w:rFonts w:ascii="Aptos" w:hAnsi="Aptos" w:eastAsia="Aptos"/>
          <w:b w:val="0"/>
          <w:i w:val="0"/>
          <w:sz w:val="21"/>
        </w:rPr>
        <w:t>Die PDF betont außerdem, dass Metaphern aus der Abweichung vom normalen Ausdruck entstehen und das Publikum zur aktiven Mitdeutung herausfordern.</w:t>
      </w:r>
    </w:p>
    <w:p>
      <w:pPr>
        <w:pStyle w:val="Heading1"/>
      </w:pPr>
      <w:r>
        <w:t>Abgrenzung</w:t>
      </w:r>
    </w:p>
    <w:p>
      <w:pPr/>
      <w:r>
        <w:rPr>
          <w:rFonts w:ascii="Aptos" w:hAnsi="Aptos" w:eastAsia="Aptos"/>
          <w:b w:val="0"/>
          <w:i w:val="0"/>
          <w:sz w:val="21"/>
        </w:rPr>
        <w:t>Vergleich (similitudo): explizit, mit „wie“. Metapher: implizit, ohne Vergleichspartikel.</w:t>
      </w:r>
    </w:p>
    <w:p>
      <w:pPr/>
      <w:r>
        <w:rPr>
          <w:rFonts w:ascii="Aptos" w:hAnsi="Aptos" w:eastAsia="Aptos"/>
          <w:b w:val="0"/>
          <w:i w:val="0"/>
          <w:sz w:val="21"/>
        </w:rPr>
        <w:t>Allegorie: nicht punktuelle, sondern durchgehende Kette zusammenhängender Metaphern.</w:t>
      </w:r>
    </w:p>
    <w:p>
      <w:pPr/>
      <w:r>
        <w:rPr>
          <w:rFonts w:ascii="Aptos" w:hAnsi="Aptos" w:eastAsia="Aptos"/>
          <w:b w:val="0"/>
          <w:i w:val="0"/>
          <w:sz w:val="21"/>
        </w:rPr>
        <w:t>Katakrese: notwendige Metapher, wenn ein eigentliches Wort fehlt oder verbraucht ist.</w:t>
      </w:r>
    </w:p>
    <w:p>
      <w:pPr/>
      <w:r>
        <w:rPr>
          <w:rFonts w:ascii="Aptos" w:hAnsi="Aptos" w:eastAsia="Aptos"/>
          <w:b w:val="0"/>
          <w:i w:val="0"/>
          <w:sz w:val="21"/>
        </w:rPr>
        <w:t>Personifikation: besonders eindringliche Form der Metapher; Dinge oder Abstrakta handeln wie Personen.</w:t>
      </w:r>
    </w:p>
    <w:p>
      <w:pPr>
        <w:pStyle w:val="Heading1"/>
      </w:pPr>
      <w:r>
        <w:t>Spannungsfelder der Metapher</w:t>
      </w:r>
    </w:p>
    <w:p>
      <w:pPr/>
      <w:r>
        <w:rPr>
          <w:rFonts w:ascii="Aptos" w:hAnsi="Aptos" w:eastAsia="Aptos"/>
          <w:b w:val="0"/>
          <w:i w:val="0"/>
          <w:sz w:val="21"/>
        </w:rPr>
        <w:t>Die Metapher ist nicht einfach ein Schmuckmittel. Lausberg zeigt sie als Publikumsereignis: Das Publikum muss die Bedeutungsverschiebung vollziehen und damit gewissermaßen am Werk mitarbeiten.</w:t>
      </w:r>
    </w:p>
    <w:p>
      <w:pPr/>
      <w:r>
        <w:rPr>
          <w:rFonts w:ascii="Aptos" w:hAnsi="Aptos" w:eastAsia="Aptos"/>
          <w:b w:val="0"/>
          <w:i w:val="0"/>
          <w:sz w:val="21"/>
        </w:rPr>
        <w:t>Die Grenze zwischen Metapher und Vergleich ist fließend. Quintilian nennt die Metapher den verkürzten Vergleich; Lausberg hält zugleich fest, dass die similitudo keine so engen Grenzen kennt wie die Metapher.</w:t>
      </w:r>
    </w:p>
    <w:p>
      <w:pPr/>
      <w:r>
        <w:rPr>
          <w:rFonts w:ascii="Aptos" w:hAnsi="Aptos" w:eastAsia="Aptos"/>
          <w:b w:val="0"/>
          <w:i w:val="0"/>
          <w:sz w:val="21"/>
        </w:rPr>
        <w:t>Darum muss jede gute Metapher doppelt geprüft werden: auf Bildkraft und auf Tragfähigkeit der Analogie.</w:t>
      </w:r>
    </w:p>
    <w:p>
      <w:pPr>
        <w:pStyle w:val="Heading1"/>
      </w:pPr>
      <w:r>
        <w:t>Frische, gewohnte und tote Metaphern</w:t>
      </w:r>
    </w:p>
    <w:p>
      <w:pPr/>
      <w:r>
        <w:rPr>
          <w:rFonts w:ascii="Aptos" w:hAnsi="Aptos" w:eastAsia="Aptos"/>
          <w:b w:val="0"/>
          <w:i w:val="0"/>
          <w:sz w:val="21"/>
        </w:rPr>
        <w:t>Lausberg unterscheidet funktional zwischen frischer Metapher, habitueller Metapher und erstarrter bzw. toter Metapher.</w:t>
      </w:r>
    </w:p>
    <w:p>
      <w:pPr/>
      <w:r>
        <w:rPr>
          <w:rFonts w:ascii="Aptos" w:hAnsi="Aptos" w:eastAsia="Aptos"/>
          <w:b w:val="0"/>
          <w:i w:val="0"/>
          <w:sz w:val="21"/>
        </w:rPr>
        <w:t>Je frischer die Metapher, desto stärker die semantische Überraschung und Affektwirkung. Je gewohnter sie wird, desto weniger Bildarbeit leistet sie. In der toten Metapher bleibt oft nur noch das Wort, nicht mehr das innere Sehen.</w:t>
      </w:r>
    </w:p>
    <w:p>
      <w:pPr/>
      <w:r>
        <w:rPr>
          <w:rFonts w:ascii="Aptos" w:hAnsi="Aptos" w:eastAsia="Aptos"/>
          <w:b w:val="0"/>
          <w:i w:val="0"/>
          <w:sz w:val="21"/>
        </w:rPr>
        <w:t>Für die Predigt heißt das: tote Metaphern tragen nur noch, wenn sie bewusst reaktiviert oder in stärkere Bildfelder eingebettet werden.</w:t>
      </w:r>
    </w:p>
    <w:p>
      <w:pPr>
        <w:pStyle w:val="Heading1"/>
      </w:pPr>
      <w:r>
        <w:t>Katakrese | notwendige Metapher</w:t>
      </w:r>
    </w:p>
    <w:p>
      <w:pPr/>
      <w:r>
        <w:rPr>
          <w:rFonts w:ascii="Aptos" w:hAnsi="Aptos" w:eastAsia="Aptos"/>
          <w:b w:val="0"/>
          <w:i w:val="0"/>
          <w:sz w:val="21"/>
        </w:rPr>
        <w:t>Die Katakrese ist die notwendige Metapher. Sie entsteht dort, wo eine Sprache für eine Sache kein eigentliches, nicht-metaphorisches Wort besitzt oder wo das vorhandene Wort nicht mehr trägt.</w:t>
      </w:r>
    </w:p>
    <w:p>
      <w:pPr/>
      <w:r>
        <w:rPr>
          <w:rFonts w:ascii="Aptos" w:hAnsi="Aptos" w:eastAsia="Aptos"/>
          <w:b w:val="0"/>
          <w:i w:val="0"/>
          <w:sz w:val="21"/>
        </w:rPr>
        <w:t>Typische Alltagsfälle sind Bildungen wie Tischbein oder Flaschenhals. Solche Wendungen werden häufig nicht mehr als Bilder empfunden, sind aber genealogisch metaphorisch.</w:t>
      </w:r>
    </w:p>
    <w:p>
      <w:pPr/>
      <w:r>
        <w:rPr>
          <w:rFonts w:ascii="Aptos" w:hAnsi="Aptos" w:eastAsia="Aptos"/>
          <w:b w:val="0"/>
          <w:i w:val="0"/>
          <w:sz w:val="21"/>
        </w:rPr>
        <w:t>Merksatz: Nicht jede Metapher ist frisch; manche Metaphern sind die Werkzeuge, ohne die Sprache gar nicht weiterkommt.</w:t>
      </w:r>
    </w:p>
    <w:p>
      <w:pPr>
        <w:pStyle w:val="Heading1"/>
      </w:pPr>
      <w:r>
        <w:t>Personifikation und metaphorische Periphrase</w:t>
      </w:r>
    </w:p>
    <w:p>
      <w:pPr/>
      <w:r>
        <w:rPr>
          <w:rFonts w:ascii="Aptos" w:hAnsi="Aptos" w:eastAsia="Aptos"/>
          <w:b w:val="0"/>
          <w:i w:val="0"/>
          <w:sz w:val="21"/>
        </w:rPr>
        <w:t>Die PDF nennt die Personifikation die eindringlichste Form der verlebendigten Metapher: Abstrakta, Dinge oder Naturkräfte sprechen, handeln, begehren, klagen.</w:t>
      </w:r>
    </w:p>
    <w:p>
      <w:pPr/>
      <w:r>
        <w:rPr>
          <w:rFonts w:ascii="Aptos" w:hAnsi="Aptos" w:eastAsia="Aptos"/>
          <w:b w:val="0"/>
          <w:i w:val="0"/>
          <w:sz w:val="21"/>
        </w:rPr>
        <w:t>Daneben steht die metaphorische Periphrase: eine erweiterte Umschreibung, die nicht nur einen einzelnen Bildträger setzt, sondern ein ganzes Bildfeld entfaltet.</w:t>
      </w:r>
    </w:p>
    <w:p>
      <w:pPr/>
      <w:r>
        <w:rPr>
          <w:rFonts w:ascii="Aptos" w:hAnsi="Aptos" w:eastAsia="Aptos"/>
          <w:b w:val="0"/>
          <w:i w:val="0"/>
          <w:sz w:val="21"/>
        </w:rPr>
        <w:t>Für Predigten ist diese Unterscheidung sehr fruchtbar: Die knappe Metapher schlägt schnell; die Periphrase trägt länger; die Personifikation reißt affektiv am stärksten auf.</w:t>
      </w:r>
    </w:p>
    <w:p>
      <w:pPr>
        <w:pStyle w:val="Heading1"/>
      </w:pPr>
      <w:r>
        <w:t>Klassische und biblisch-nahe Muster</w:t>
      </w:r>
    </w:p>
    <w:p>
      <w:pPr/>
      <w:r>
        <w:rPr>
          <w:rFonts w:ascii="Aptos" w:hAnsi="Aptos" w:eastAsia="Aptos"/>
          <w:b w:val="0"/>
          <w:i w:val="0"/>
          <w:sz w:val="21"/>
        </w:rPr>
        <w:t>Ich bin das Licht der Welt. – christologische Grundmetapher; nicht Vergleich, sondern Identitätsaussage im Bildfeld von Orientierung, Leben und Offenbarung.</w:t>
      </w:r>
    </w:p>
    <w:p>
      <w:pPr/>
      <w:r>
        <w:rPr>
          <w:rFonts w:ascii="Aptos" w:hAnsi="Aptos" w:eastAsia="Aptos"/>
          <w:b w:val="0"/>
          <w:i w:val="0"/>
          <w:sz w:val="21"/>
        </w:rPr>
        <w:t>Der Herr ist mein Hirte. – Gottesbild als Führungs-, Schutz- und Versorgungsmetapher.</w:t>
      </w:r>
    </w:p>
    <w:p>
      <w:pPr/>
      <w:r>
        <w:rPr>
          <w:rFonts w:ascii="Aptos" w:hAnsi="Aptos" w:eastAsia="Aptos"/>
          <w:b w:val="0"/>
          <w:i w:val="0"/>
          <w:sz w:val="21"/>
        </w:rPr>
        <w:t>Der Tod ist ein Feind. – Personifizierende Metapher; der Tod erscheint nicht nur als Zustand, sondern als widerständige Macht.</w:t>
      </w:r>
    </w:p>
    <w:p>
      <w:pPr/>
      <w:r>
        <w:rPr>
          <w:rFonts w:ascii="Aptos" w:hAnsi="Aptos" w:eastAsia="Aptos"/>
          <w:b w:val="0"/>
          <w:i w:val="0"/>
          <w:sz w:val="21"/>
        </w:rPr>
        <w:t>Das Herz als Schlachtfeld, der Zweifel als Wurm, die Hoffnung als Anker: alles klassische Predigtfelder, sofern die Analogie klar geführt wird.</w:t>
      </w:r>
    </w:p>
    <w:p>
      <w:pPr>
        <w:pStyle w:val="Heading1"/>
      </w:pPr>
      <w:r>
        <w:t>Fundus Benjamin | geschärft für die Metapher</w:t>
      </w:r>
    </w:p>
    <w:p>
      <w:pPr/>
      <w:r>
        <w:rPr>
          <w:rFonts w:ascii="Aptos" w:hAnsi="Aptos" w:eastAsia="Aptos"/>
          <w:b w:val="0"/>
          <w:i w:val="0"/>
          <w:sz w:val="21"/>
        </w:rPr>
        <w:t>Die Sünde ist dein Gefängnis. Sie ist nicht bloß Fehler, sondern Ankläger, Richter, Zelle, Kette.</w:t>
      </w:r>
    </w:p>
    <w:p>
      <w:pPr/>
      <w:r>
        <w:rPr>
          <w:rFonts w:ascii="Aptos" w:hAnsi="Aptos" w:eastAsia="Aptos"/>
          <w:b w:val="0"/>
          <w:i w:val="0"/>
          <w:sz w:val="21"/>
        </w:rPr>
        <w:t>Die Kirche ist nicht bloß ein Raum; sie ist Haus, Heimat, Zuflucht, Werkstatt, Sendung.</w:t>
      </w:r>
    </w:p>
    <w:p>
      <w:pPr/>
      <w:r>
        <w:rPr>
          <w:rFonts w:ascii="Aptos" w:hAnsi="Aptos" w:eastAsia="Aptos"/>
          <w:b w:val="0"/>
          <w:i w:val="0"/>
          <w:sz w:val="21"/>
        </w:rPr>
        <w:t>Der Druck ist ein Taktgeber, der dein Leben kolonisiert. Die Angst ist ein Raum ohne Luft. Die Gnade ist kein Gedanke, sondern offenes Fenster.</w:t>
      </w:r>
    </w:p>
    <w:p>
      <w:pPr/>
      <w:r>
        <w:rPr>
          <w:rFonts w:ascii="Aptos" w:hAnsi="Aptos" w:eastAsia="Aptos"/>
          <w:b w:val="0"/>
          <w:i w:val="0"/>
          <w:sz w:val="21"/>
        </w:rPr>
        <w:t>Christus ist nicht Erinnerung, sondern Gegenwart. Nicht Idee, sondern Leben. Nicht bloß Trost der letzten Stunde, sondern Herrschaft in dieser Stunde.</w:t>
      </w:r>
    </w:p>
    <w:p>
      <w:pPr>
        <w:pStyle w:val="Heading1"/>
      </w:pPr>
      <w:r>
        <w:t>Neuschöpfungen | hochpathetisch und predigtfähig</w:t>
      </w:r>
    </w:p>
    <w:p>
      <w:pPr/>
      <w:r>
        <w:rPr>
          <w:rFonts w:ascii="Aptos" w:hAnsi="Aptos" w:eastAsia="Aptos"/>
          <w:b w:val="0"/>
          <w:i w:val="0"/>
          <w:sz w:val="21"/>
        </w:rPr>
        <w:t>Karfreitag: Das Kreuz ist kein Holzereignis; es ist Gericht, Lastaufnahme, Königszeichen, Weltenachse.</w:t>
      </w:r>
    </w:p>
    <w:p>
      <w:pPr/>
      <w:r>
        <w:rPr>
          <w:rFonts w:ascii="Aptos" w:hAnsi="Aptos" w:eastAsia="Aptos"/>
          <w:b w:val="0"/>
          <w:i w:val="0"/>
          <w:sz w:val="21"/>
        </w:rPr>
        <w:t>Ostern: Das Grab ist keine Endstation; es ist eine widerlegte Behauptung, ein entmachteter Raum, ein verlorener Anspruch des Todes.</w:t>
      </w:r>
    </w:p>
    <w:p>
      <w:pPr/>
      <w:r>
        <w:rPr>
          <w:rFonts w:ascii="Aptos" w:hAnsi="Aptos" w:eastAsia="Aptos"/>
          <w:b w:val="0"/>
          <w:i w:val="0"/>
          <w:sz w:val="21"/>
        </w:rPr>
        <w:t>Buße: Dein Herz ist kein neutrales Gelände; es ist Front, umkämpftes Land, belagerte Stadt.</w:t>
      </w:r>
    </w:p>
    <w:p>
      <w:pPr/>
      <w:r>
        <w:rPr>
          <w:rFonts w:ascii="Aptos" w:hAnsi="Aptos" w:eastAsia="Aptos"/>
          <w:b w:val="0"/>
          <w:i w:val="0"/>
          <w:sz w:val="21"/>
        </w:rPr>
        <w:t>Seelsorge: Die Erschöpfung ist nicht bloß Müdigkeit; sie ist ein Rauchsignal der Seele, ein stiller Zusammenbruch, ein überfüllter Innenraum.</w:t>
      </w:r>
    </w:p>
    <w:p>
      <w:pPr/>
      <w:r>
        <w:rPr>
          <w:rFonts w:ascii="Aptos" w:hAnsi="Aptos" w:eastAsia="Aptos"/>
          <w:b w:val="0"/>
          <w:i w:val="0"/>
          <w:sz w:val="21"/>
        </w:rPr>
        <w:t>Gemeinde: Die Kirche ist kein Publikum; sie ist Leib, Tisch, Werkstatt, Zelt Gottes unter Menschen.</w:t>
      </w:r>
    </w:p>
    <w:p>
      <w:pPr>
        <w:pStyle w:val="Heading1"/>
      </w:pPr>
      <w:r>
        <w:t>Kombinationsformen</w:t>
      </w:r>
    </w:p>
    <w:p>
      <w:pPr/>
      <w:r>
        <w:rPr>
          <w:rFonts w:ascii="Aptos" w:hAnsi="Aptos" w:eastAsia="Aptos"/>
          <w:b w:val="0"/>
          <w:i w:val="0"/>
          <w:sz w:val="21"/>
        </w:rPr>
        <w:t>Metapher + Synonymia: Ein Bildfeld wird mit mehreren nahen Bildträgern umkreist. Das steigert Dichte und Atmosphärik.</w:t>
      </w:r>
    </w:p>
    <w:p>
      <w:pPr/>
      <w:r>
        <w:rPr>
          <w:rFonts w:ascii="Aptos" w:hAnsi="Aptos" w:eastAsia="Aptos"/>
          <w:b w:val="0"/>
          <w:i w:val="0"/>
          <w:sz w:val="21"/>
        </w:rPr>
        <w:t>Metapher + Antithese: Zwei Bildwelten stoßen gegeneinander – Licht / Finsternis, Haus / Wüste, Tisch / Schlachtfeld.</w:t>
      </w:r>
    </w:p>
    <w:p>
      <w:pPr/>
      <w:r>
        <w:rPr>
          <w:rFonts w:ascii="Aptos" w:hAnsi="Aptos" w:eastAsia="Aptos"/>
          <w:b w:val="0"/>
          <w:i w:val="0"/>
          <w:sz w:val="21"/>
        </w:rPr>
        <w:t>Metapher + Narration: Das Bild wird zur kleinen Szene; aus der punktuellen Metapher wächst das Gleichnis.</w:t>
      </w:r>
    </w:p>
    <w:p>
      <w:pPr/>
      <w:r>
        <w:rPr>
          <w:rFonts w:ascii="Aptos" w:hAnsi="Aptos" w:eastAsia="Aptos"/>
          <w:b w:val="0"/>
          <w:i w:val="0"/>
          <w:sz w:val="21"/>
        </w:rPr>
        <w:t>Metapher + Correctio: Das erste Bild wird verworfen und durch ein schärferes ersetzt: kein Kratzer – Wunde; keine Schwäche – Zusammenbruch.</w:t>
      </w:r>
    </w:p>
    <w:p>
      <w:pPr>
        <w:pStyle w:val="Heading1"/>
      </w:pPr>
      <w:r>
        <w:t>Bauanleitung | wie du tragfähige Metaphern baust</w:t>
      </w:r>
    </w:p>
    <w:p>
      <w:pPr/>
      <w:r>
        <w:rPr>
          <w:rFonts w:ascii="Aptos" w:hAnsi="Aptos" w:eastAsia="Aptos"/>
          <w:b w:val="0"/>
          <w:i w:val="0"/>
          <w:sz w:val="21"/>
        </w:rPr>
        <w:t>1. Bestimme den abstrakten Zielbegriff: Sünde, Gnade, Angst, Christus, Gemeinde, Hoffnung.</w:t>
      </w:r>
    </w:p>
    <w:p>
      <w:pPr/>
      <w:r>
        <w:rPr>
          <w:rFonts w:ascii="Aptos" w:hAnsi="Aptos" w:eastAsia="Aptos"/>
          <w:b w:val="0"/>
          <w:i w:val="0"/>
          <w:sz w:val="21"/>
        </w:rPr>
        <w:t>2. Suche ein konkretes Erfahrungsfeld: Haus, Krieg, Licht, Gericht, Weg, Mahl, Medizin, Wetter.</w:t>
      </w:r>
    </w:p>
    <w:p>
      <w:pPr/>
      <w:r>
        <w:rPr>
          <w:rFonts w:ascii="Aptos" w:hAnsi="Aptos" w:eastAsia="Aptos"/>
          <w:b w:val="0"/>
          <w:i w:val="0"/>
          <w:sz w:val="21"/>
        </w:rPr>
        <w:t>3. Prüfe die Analogie streng: Was genau entspricht einander? Wo trägt die Übertragung – und wo bricht sie?</w:t>
      </w:r>
    </w:p>
    <w:p>
      <w:pPr/>
      <w:r>
        <w:rPr>
          <w:rFonts w:ascii="Aptos" w:hAnsi="Aptos" w:eastAsia="Aptos"/>
          <w:b w:val="0"/>
          <w:i w:val="0"/>
          <w:sz w:val="21"/>
        </w:rPr>
        <w:t>4. Setze zuerst die knappe Metapher. Erweitere nur dann zur Periphrase oder Personifikation, wenn die Predigt mehr Raum braucht.</w:t>
      </w:r>
    </w:p>
    <w:p>
      <w:pPr/>
      <w:r>
        <w:rPr>
          <w:rFonts w:ascii="Aptos" w:hAnsi="Aptos" w:eastAsia="Aptos"/>
          <w:b w:val="0"/>
          <w:i w:val="0"/>
          <w:sz w:val="21"/>
        </w:rPr>
        <w:t>5. Meide gemischte Bildfelder. Wer eben noch vom Haus spricht, soll nicht im nächsten Halbsatz ohne Übergang im Maschinenraum stehen.</w:t>
      </w:r>
    </w:p>
    <w:p>
      <w:pPr>
        <w:pStyle w:val="Heading1"/>
      </w:pPr>
      <w:r>
        <w:t>Warnung | typische Fehler</w:t>
      </w:r>
    </w:p>
    <w:p>
      <w:pPr/>
      <w:r>
        <w:rPr>
          <w:rFonts w:ascii="Aptos" w:hAnsi="Aptos" w:eastAsia="Aptos"/>
          <w:b w:val="0"/>
          <w:i w:val="0"/>
          <w:sz w:val="21"/>
        </w:rPr>
        <w:t>Tote Metaphern unbesehen übernehmen.</w:t>
      </w:r>
    </w:p>
    <w:p>
      <w:pPr/>
      <w:r>
        <w:rPr>
          <w:rFonts w:ascii="Aptos" w:hAnsi="Aptos" w:eastAsia="Aptos"/>
          <w:b w:val="0"/>
          <w:i w:val="0"/>
          <w:sz w:val="21"/>
        </w:rPr>
        <w:t>Unklare Analogie: starkes Wort, aber kein tragfähiger Bedeutungsübergang.</w:t>
      </w:r>
    </w:p>
    <w:p>
      <w:pPr/>
      <w:r>
        <w:rPr>
          <w:rFonts w:ascii="Aptos" w:hAnsi="Aptos" w:eastAsia="Aptos"/>
          <w:b w:val="0"/>
          <w:i w:val="0"/>
          <w:sz w:val="21"/>
        </w:rPr>
        <w:t>Bildfelder mischen und dadurch die innere Logik zerstören.</w:t>
      </w:r>
    </w:p>
    <w:p>
      <w:pPr/>
      <w:r>
        <w:rPr>
          <w:rFonts w:ascii="Aptos" w:hAnsi="Aptos" w:eastAsia="Aptos"/>
          <w:b w:val="0"/>
          <w:i w:val="0"/>
          <w:sz w:val="21"/>
        </w:rPr>
        <w:t>Metaphern häufen, ohne ihre Funktion im Gang der Predigt zu prüfen.</w:t>
      </w:r>
    </w:p>
    <w:p>
      <w:pPr>
        <w:pStyle w:val="Heading1"/>
      </w:pPr>
      <w:r>
        <w:t>Merksätze</w:t>
      </w:r>
    </w:p>
    <w:p>
      <w:pPr/>
      <w:r>
        <w:rPr>
          <w:rFonts w:ascii="Aptos" w:hAnsi="Aptos" w:eastAsia="Aptos"/>
          <w:b w:val="0"/>
          <w:i w:val="0"/>
          <w:sz w:val="21"/>
        </w:rPr>
        <w:t>Metaphern erklären nicht nur – sie lassen sehen.</w:t>
      </w:r>
    </w:p>
    <w:p>
      <w:pPr/>
      <w:r>
        <w:rPr>
          <w:rFonts w:ascii="Aptos" w:hAnsi="Aptos" w:eastAsia="Aptos"/>
          <w:b w:val="0"/>
          <w:i w:val="0"/>
          <w:sz w:val="21"/>
        </w:rPr>
        <w:t>Eine starke Metapher ist eine kleine Erkenntnisbewegung.</w:t>
      </w:r>
    </w:p>
    <w:p>
      <w:pPr/>
      <w:r>
        <w:rPr>
          <w:rFonts w:ascii="Aptos" w:hAnsi="Aptos" w:eastAsia="Aptos"/>
          <w:b w:val="0"/>
          <w:i w:val="0"/>
          <w:sz w:val="21"/>
        </w:rPr>
        <w:t>Nicht jedes Bild ist schon Metapher; entscheidend ist die tragfähige Analogie.</w:t>
      </w:r>
    </w:p>
    <w:p>
      <w:pPr/>
      <w:r>
        <w:rPr>
          <w:rFonts w:ascii="Aptos" w:hAnsi="Aptos" w:eastAsia="Aptos"/>
          <w:b w:val="0"/>
          <w:i w:val="0"/>
          <w:sz w:val="21"/>
        </w:rPr>
        <w:t>Wo das eigentliche Wort nicht reicht, beginnt die Arbeit der Metapher.</w:t>
      </w:r>
    </w:p>
    <w:p>
      <w:pPr>
        <w:pStyle w:val="Heading1"/>
      </w:pPr>
      <w:r>
        <w:t>Kompendiumsnotiz | Datenlogik</w:t>
      </w:r>
    </w:p>
    <w:p>
      <w:r>
        <w:rPr>
          <w:rFonts w:ascii="Aptos" w:hAnsi="Aptos" w:eastAsia="Aptos"/>
          <w:b w:val="0"/>
          <w:i w:val="0"/>
          <w:sz w:val="21"/>
        </w:rPr>
        <w:t>Für den Korpus ist die Metapher als Tropus zu führen, nicht als Wiederholungsfigur. Wichtige Felder sind: figure_name_original, category=Tropus, formal_pattern=implizite Analogie, distinguish_from=[similitudo, allegoria, catachresis, personificatio].</w:t>
      </w:r>
    </w:p>
    <w:p>
      <w:r>
        <w:rPr>
          <w:rFonts w:ascii="Aptos" w:hAnsi="Aptos" w:eastAsia="Aptos"/>
          <w:b w:val="0"/>
          <w:i w:val="0"/>
          <w:sz w:val="21"/>
        </w:rPr>
        <w:t>Für Predigtanwendungen lohnt eine Zusatzmarkierung nach Frischegrad: frisch / habitualisiert / tot sowie nach Ausbaustufe: knapp / periphrastisch / personifizierend / narrativ erweitert.</w:t>
      </w:r>
    </w:p>
    <w:sectPr w:rsidR="00FC693F" w:rsidRPr="0006063C" w:rsidSect="00034616">
      <w:head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Aptos"/>
        <w:b/>
        <w:i w:val="0"/>
        <w:color w:val="5B6B7F"/>
        <w:sz w:val="18"/>
      </w:rPr>
      <w:t>MEISTERREDNER | Stilmittel-Einleger | Tiefgang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