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ptos" w:hAnsi="Aptos" w:eastAsia="Aptos"/>
          <w:b/>
          <w:i w:val="0"/>
          <w:color w:val="7C2130"/>
          <w:sz w:val="52"/>
        </w:rPr>
        <w:t>Antonomasie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608"/>
        <w:gridCol w:w="2665"/>
      </w:tblGrid>
      <w:tr>
        <w:tc>
          <w:tcPr>
            <w:tcW w:type="dxa" w:w="2268"/>
            <w:shd w:fill="F3EFEA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/>
                <w:i w:val="0"/>
                <w:color w:val="7C2130"/>
                <w:sz w:val="26"/>
              </w:rPr>
              <w:t>Griechisch</w:t>
            </w:r>
          </w:p>
        </w:tc>
        <w:tc>
          <w:tcPr>
            <w:tcW w:type="dxa" w:w="2268"/>
            <w:shd w:fill="F3EFEA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/>
                <w:i w:val="0"/>
                <w:color w:val="7C2130"/>
                <w:sz w:val="26"/>
              </w:rPr>
              <w:t>Latein</w:t>
            </w:r>
          </w:p>
        </w:tc>
        <w:tc>
          <w:tcPr>
            <w:tcW w:type="dxa" w:w="2608"/>
            <w:shd w:fill="F3EFEA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/>
                <w:i w:val="0"/>
                <w:color w:val="7C2130"/>
                <w:sz w:val="26"/>
              </w:rPr>
              <w:t>Formel</w:t>
            </w:r>
          </w:p>
        </w:tc>
        <w:tc>
          <w:tcPr>
            <w:tcW w:type="dxa" w:w="2665"/>
            <w:shd w:fill="F3EFEA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/>
                <w:i w:val="0"/>
                <w:color w:val="7C2130"/>
                <w:sz w:val="26"/>
              </w:rPr>
              <w:t>Kernwirkung</w:t>
            </w:r>
          </w:p>
        </w:tc>
      </w:tr>
      <w:tr>
        <w:tc>
          <w:tcPr>
            <w:tcW w:type="dxa" w:w="2268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ἀντονομασία</w:t>
            </w:r>
          </w:p>
        </w:tc>
        <w:tc>
          <w:tcPr>
            <w:tcW w:type="dxa" w:w="2268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antonomasia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pronominatio</w:t>
            </w:r>
          </w:p>
        </w:tc>
        <w:tc>
          <w:tcPr>
            <w:tcW w:type="dxa" w:w="2608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Eigenname →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Appellativ /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Periphrase</w:t>
            </w:r>
          </w:p>
        </w:tc>
        <w:tc>
          <w:tcPr>
            <w:tcW w:type="dxa" w:w="2665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Verdichtung ·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Charakterisierung ·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epideiktische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Schärfung ·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typologische</w:t>
              <w:br/>
            </w:r>
            <w:r>
              <w:rPr>
                <w:rFonts w:ascii="Aptos" w:hAnsi="Aptos" w:eastAsia="Aptos"/>
                <w:b w:val="0"/>
                <w:i w:val="0"/>
                <w:color w:val="222222"/>
                <w:sz w:val="24"/>
              </w:rPr>
              <w:t>Aufladung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Aptos" w:hAnsi="Aptos" w:eastAsia="Aptos"/>
          <w:b w:val="0"/>
          <w:i w:val="0"/>
          <w:color w:val="222222"/>
          <w:sz w:val="24"/>
        </w:rPr>
      </w:r>
      <w:r>
        <w:rPr>
          <w:rFonts w:ascii="Aptos" w:hAnsi="Aptos" w:eastAsia="Aptos"/>
          <w:b/>
          <w:i w:val="0"/>
          <w:color w:val="7C2130"/>
          <w:sz w:val="25"/>
        </w:rPr>
      </w:r>
      <w:r>
        <w:rPr>
          <w:rFonts w:ascii="Aptos" w:hAnsi="Aptos" w:eastAsia="Aptos"/>
          <w:b w:val="0"/>
          <w:i w:val="0"/>
          <w:color w:val="222222"/>
          <w:sz w:val="25"/>
        </w:rPr>
        <w:t xml:space="preserve">Ersetzung eines Eigennamens durch einen Titel, Beinamen oder eine kennzeichnende Umschreibung. </w:t>
      </w:r>
      <w:r>
        <w:rPr>
          <w:rFonts w:ascii="Aptos" w:hAnsi="Aptos" w:eastAsia="Aptos"/>
          <w:b/>
          <w:i w:val="0"/>
          <w:color w:val="222222"/>
          <w:sz w:val="25"/>
        </w:rPr>
        <w:t>Nicht der Name selbst steht da; vielmehr tritt das hervor, was die Person oder Sache in diesem Kontext besonders markiert.</w:t>
      </w:r>
    </w:p>
    <w:p>
      <w:pPr>
        <w:spacing w:after="120" w:before="0"/>
      </w:pPr>
      <w:r>
        <w:rPr>
          <w:rFonts w:ascii="Aptos" w:hAnsi="Aptos" w:eastAsia="Aptos"/>
          <w:b w:val="0"/>
          <w:i w:val="0"/>
          <w:color w:val="222222"/>
          <w:sz w:val="24"/>
        </w:rPr>
        <w:t>Typisch ist die Figur dort, wo Benennung und Deutung in einem Schlag zusammenfallen: Würde, Herkunft, Tat, Funktion oder Beziehung erscheinen sofort mit.</w:t>
      </w:r>
      <w:r>
        <w:rPr>
          <w:rFonts w:ascii="Aptos" w:hAnsi="Aptos" w:eastAsia="Aptos"/>
          <w:b/>
          <w:i w:val="0"/>
          <w:color w:val="7C2130"/>
          <w:sz w:val="24"/>
        </w:rPr>
        <w:t xml:space="preserve"> Wo der Name weicht, tritt das Profil hervor.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7F4F1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</w:tcPr>
          <w:p>
            <w:pPr>
              <w:spacing w:after="120"/>
            </w:pPr>
            <w:r>
              <w:rPr>
                <w:rFonts w:ascii="Aptos" w:hAnsi="Aptos" w:eastAsia="Aptos"/>
                <w:b/>
                <w:i w:val="0"/>
                <w:color w:val="9C6B1F"/>
                <w:sz w:val="26"/>
              </w:rPr>
              <w:t>Lausberg-nah | Definition, Präzisierung und Wirkung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Lausberg definiert die Antonomasie als die Setzung eines Appellativs (λέξις) oder einer Periphrase (φράσις) an die Stelle eines Eigennamens. Damit ist die Figur präzise auf den Namensersatz festgelegt.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Sie ist nicht bloß schmückende Umschreibung, sondern individualisierende Benennung. Der Ausdruck muss den Eigennamen funktional ersetzen und den Referenten ausreichend kenntlich machen.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Systematisch versteht Lausberg die Antonomasie als Synekdoche für den Eigennamen. In §581 notiert er außerdem die spätere vossianische Umkehrform, in der ein Eigenname typologisch als Appellativ gebraucht wird.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/>
                <w:i w:val="0"/>
                <w:color w:val="7C2130"/>
                <w:sz w:val="23"/>
              </w:rPr>
              <w:t xml:space="preserve">Merksatz: </w:t>
            </w:r>
            <w:r>
              <w:rPr>
                <w:rFonts w:ascii="Aptos" w:hAnsi="Aptos" w:eastAsia="Aptos"/>
                <w:b w:val="0"/>
                <w:i w:val="0"/>
                <w:color w:val="7C2130"/>
                <w:sz w:val="23"/>
              </w:rPr>
              <w:t>Antonomasie nennt nicht nur – sie deutet.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Originale | Definitionen und klassische Muster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7F4F1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</w:tcPr>
          <w:p>
            <w:pPr>
              <w:spacing w:after="120"/>
            </w:pPr>
            <w:r>
              <w:rPr>
                <w:rFonts w:ascii="Aptos" w:hAnsi="Aptos" w:eastAsia="Aptos"/>
                <w:b/>
                <w:i w:val="0"/>
                <w:color w:val="9C6B1F"/>
                <w:sz w:val="26"/>
              </w:rPr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Original (Griechisch):</w:t>
              <w:br/>
              <w:t>ἀντονομασία ἐστὶ λέξις ἢ φράσις διὰ συνωνύμων ὀνομάτων τὸ κύριον παριστῶσα.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Deutsch:</w:t>
              <w:br/>
              <w:t>Antonomasie ist ein Ausdruck oder eine Umschreibung, die mittels synonymischer Benennungen den Eigennamen vergegenwärtigt.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Original (Latein):</w:t>
              <w:br/>
              <w:t>antonomasia, quae aliquid pro nomine ponit.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Deutsch:</w:t>
              <w:br/>
              <w:t>Antonomasie ist eine Figur, die etwas an die Stelle des Namens setzt.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Original (Latein):</w:t>
              <w:br/>
              <w:t>antonomasia est pro nomine, id est vice nominis posita.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Deutsch:</w:t>
              <w:br/>
              <w:t>Antonomasie ist ein Ausdruck anstelle des Namens, das heißt an die Stelle des Namens gesetzt.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/>
                <w:i w:val="0"/>
                <w:color w:val="7C2130"/>
                <w:sz w:val="23"/>
              </w:rPr>
              <w:t xml:space="preserve">Merksatz: </w:t>
            </w:r>
            <w:r>
              <w:rPr>
                <w:rFonts w:ascii="Aptos" w:hAnsi="Aptos" w:eastAsia="Aptos"/>
                <w:b w:val="0"/>
                <w:i w:val="0"/>
                <w:color w:val="7C2130"/>
                <w:sz w:val="23"/>
              </w:rPr>
              <w:t>Ein guter antonomastischer Ausdruck ersetzt den Namen und erklärt ihn zugleich.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Klassische Beispiele | Original, Übersetzung, Markierung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(Griechisch):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Φοῖβος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Phoibos.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Ersatzname für Apollo.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Tryphon,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(Griechisch):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Ἐννοσίγαιος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Erderschütterer.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Ersatzname für Poseidon.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Tryphon,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(Griechisch):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γλαυκῶπις [leicht unsicher im Scan]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die helläugige / eulenäugige.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Wahrscheinlich Ersatzname für Athene.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Tryphon,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(Griechisch):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Λητοῦς καὶ Διὸς υἱός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Sohn der Leto und des Zeus.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Periphrastischer Ersatzname für Apollo.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Tryphon,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Tydides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Sohn des Tydeus.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Ersatzname für Diomedes.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Quintilian 8,6,29–30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Pelides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Sohn des Peleus.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Ersatzname für Achill.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Quintilian 8,6,29–30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divum pater atque hominum rex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Vater der Götter und König der Menschen.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Periphrastischer Ersatzname für Jupiter.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Vergil, Aen. 1,65; bei Lausberg §580</w:t>
      </w: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Weitere klassische Beispiele | rhetorisch, biblisch, französisch, englisch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Maia genitus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von Maia Geborene.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Periphrastischer Ersatzname für Merkur.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Isidor 1,37,11;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Romanus sedendo vincit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Römer siegt durch Sitzen / Zuwarten.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Romanus steht antonomastisch für Q. Fabius Maximus.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Varro rust. 1,2,2;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Troius heros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trojanische Held.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Antonomastische Charakterisierung.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Vergil, Aen. 6,451;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qui autem tradidit eum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aber ihn verriet.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Periphrastischer Ersatzname für Judas.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Mt 26,48;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(Latein):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discipulum quem diligebat [Iesus]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den Jünger, den [Jesus] liebte.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Periphrastischer Ersatzname für Johannes.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Joh 19,26;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(Französisch):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Neptune le protège, et ce dieu tutélaire ne sera pas en vain imploré.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Neptun schützt ihn, und dieser Schutzgott wird nicht vergeblich angerufen werden.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Charakterisierend-steigernde Periphrase.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Phèdre 2,5,621;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(Französisch):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cestuy-là qui conquit la toison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derjenige, der das Vlies gewann.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Periphrastischer Ersatzname für Jason.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Du Bellay, Regrets 31;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(Englisch):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the mother of mankind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die Mutter des Menschengeschlechts.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Periphrastischer Ersatzname für Eva.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Milton, Paradise Lost 1,36; bei Lausberg §580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(Englisch):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one greater Man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ein größerer Mensch / der größere Mensch.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Christologische Antonomasie.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Milton, Paradise Lost 1,4; bei Lausberg §580</w:t>
      </w: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Fundus Benjamin | geschärfte deutsche Beispiele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Sohn Gottes. Friedefürst. – Jesus.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Mann der Schmerzen trägt nicht nur Wunden, sondern unsere Schuld.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gute Hirte kennt nicht nur die Herde, sondern ruft dich beim Namen.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Menschenfischer zerbricht am Feuer und wird am Ufer neu gerufen.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Friedefürst tritt nicht in dekorative Weihnachtsstimmung, sondern in zerrissene Häuser.</w:t>
      </w: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Neuschöpfungen | predigtfähig, aber klar als moderne Ergänzung markiert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Friedefürst betritt nicht den Palast, sondern unsere zerrissenen Häuser.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gute Hirte sucht nicht starke Tiere, sondern verlorene Schafe.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Löwe aus Juda siegt nicht mit Gebrüll, sondern durch das Opfer.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Bräutigam kommt nicht zu Satten, sondern zu Wartenden.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Menschenfischer zieht nicht bloß Netze voll Fische, sondern Herzen aus der Tiefe.</w:t>
      </w:r>
    </w:p>
    <w:p>
      <w:pPr>
        <w:spacing w:after="80"/>
        <w:ind w:left="113"/>
      </w:pPr>
      <w:r>
        <w:rPr>
          <w:rFonts w:ascii="Aptos" w:hAnsi="Aptos" w:eastAsia="Aptos"/>
          <w:b w:val="0"/>
          <w:i w:val="0"/>
          <w:color w:val="222222"/>
          <w:sz w:val="23"/>
        </w:rPr>
        <w:t>• Der Mann der Schmerzen trägt nicht nur Schmerz, sondern den Träger des Schmerzes selbst heim.</w:t>
      </w: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Kombinationsformen und Grenzfälle | sauber abgrenzen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7F4F1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</w:tcPr>
          <w:p>
            <w:pPr>
              <w:spacing w:after="120"/>
            </w:pPr>
            <w:r>
              <w:rPr>
                <w:rFonts w:ascii="Aptos" w:hAnsi="Aptos" w:eastAsia="Aptos"/>
                <w:b/>
                <w:i w:val="0"/>
                <w:color w:val="9C6B1F"/>
                <w:sz w:val="26"/>
              </w:rPr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Nicht jede Periphrase ist Antonomasie. Erst der funktionale Namensersatz entscheidet.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Nicht jedes Epitheton ist Antonomasie. Das Beiwort muss sich vom Namen lösen und selbständig tragen.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Nicht jede Metapher ist Antonomasie. Es braucht einen eindeutigen Individualbezug.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Die vossianische Antonomasie ist keine neue Hauptfigur, sondern eine spätere Umkehrform innerhalb desselben Lemmas.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Vossianische Antonomasie | Untervariante im selben Lemma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Original (Griechisch):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/>
          <w:color w:val="7C2130"/>
          <w:sz w:val="23"/>
        </w:rPr>
        <w:t>πολλὴν Ἀφροδίτην τῷ λόγῳ περιτιθέναι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Deutsch: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3"/>
        </w:rPr>
        <w:t>der Rede viel Aphrodite / viel Anmut beilegen.</w:t>
      </w:r>
    </w:p>
    <w:p>
      <w:pPr>
        <w:spacing w:after="4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Funktionsnotiz: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222222"/>
          <w:sz w:val="22"/>
        </w:rPr>
        <w:t>Eigenname wird typologisch als Appellativ für eine Eigenschaft benutzt.</w:t>
      </w:r>
    </w:p>
    <w:p>
      <w:pPr>
        <w:spacing w:after="16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>Quelle:</w:t>
        <w:br/>
      </w:r>
      <w:r>
        <w:rPr>
          <w:rFonts w:ascii="Aptos" w:hAnsi="Aptos" w:eastAsia="Aptos"/>
          <w:b w:val="0"/>
          <w:i w:val="0"/>
          <w:color w:val="222222"/>
          <w:sz w:val="23"/>
        </w:rPr>
      </w:r>
      <w:r>
        <w:rPr>
          <w:rFonts w:ascii="Aptos" w:hAnsi="Aptos" w:eastAsia="Aptos"/>
          <w:b w:val="0"/>
          <w:i w:val="0"/>
          <w:color w:val="666666"/>
          <w:sz w:val="21"/>
        </w:rPr>
        <w:t>Dion. Hal. de comp. 3; bei Lausberg §581</w:t>
      </w: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Bauanleitung | wie du Antonomasie für Predigten baust</w:t>
      </w:r>
    </w:p>
    <w:p>
      <w:pPr>
        <w:spacing w:after="8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 xml:space="preserve">1. </w:t>
      </w:r>
      <w:r>
        <w:rPr>
          <w:rFonts w:ascii="Aptos" w:hAnsi="Aptos" w:eastAsia="Aptos"/>
          <w:b w:val="0"/>
          <w:i w:val="0"/>
          <w:color w:val="222222"/>
          <w:sz w:val="23"/>
        </w:rPr>
        <w:t>Wähle die Person oder Sache.</w:t>
      </w:r>
    </w:p>
    <w:p>
      <w:pPr>
        <w:spacing w:after="8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 xml:space="preserve">2. </w:t>
      </w:r>
      <w:r>
        <w:rPr>
          <w:rFonts w:ascii="Aptos" w:hAnsi="Aptos" w:eastAsia="Aptos"/>
          <w:b w:val="0"/>
          <w:i w:val="0"/>
          <w:color w:val="222222"/>
          <w:sz w:val="23"/>
        </w:rPr>
        <w:t>Bestimme die eine Eigenschaft, Tat, Herkunft oder Beziehung, die im Kontext am stärksten hervortritt.</w:t>
      </w:r>
    </w:p>
    <w:p>
      <w:pPr>
        <w:spacing w:after="8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 xml:space="preserve">3. </w:t>
      </w:r>
      <w:r>
        <w:rPr>
          <w:rFonts w:ascii="Aptos" w:hAnsi="Aptos" w:eastAsia="Aptos"/>
          <w:b w:val="0"/>
          <w:i w:val="0"/>
          <w:color w:val="222222"/>
          <w:sz w:val="23"/>
        </w:rPr>
        <w:t>Forme daraus einen Titel, Beinamen oder eine knappe Umschreibung.</w:t>
      </w:r>
    </w:p>
    <w:p>
      <w:pPr>
        <w:spacing w:after="8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 xml:space="preserve">4. </w:t>
      </w:r>
      <w:r>
        <w:rPr>
          <w:rFonts w:ascii="Aptos" w:hAnsi="Aptos" w:eastAsia="Aptos"/>
          <w:b w:val="0"/>
          <w:i w:val="0"/>
          <w:color w:val="222222"/>
          <w:sz w:val="23"/>
        </w:rPr>
        <w:t>Prüfe, ob der Referent auch ohne Eigennamen eindeutig bleibt.</w:t>
      </w:r>
    </w:p>
    <w:p>
      <w:pPr>
        <w:spacing w:after="8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 xml:space="preserve">5. </w:t>
      </w:r>
      <w:r>
        <w:rPr>
          <w:rFonts w:ascii="Aptos" w:hAnsi="Aptos" w:eastAsia="Aptos"/>
          <w:b w:val="0"/>
          <w:i w:val="0"/>
          <w:color w:val="222222"/>
          <w:sz w:val="23"/>
        </w:rPr>
        <w:t>Prüfe, ob die Benennung wirklich ersetzt und nicht nur dekorativ ergänzt.</w:t>
      </w:r>
    </w:p>
    <w:p>
      <w:pPr>
        <w:spacing w:after="80"/>
        <w:ind w:left="113"/>
      </w:pPr>
      <w:r>
        <w:rPr>
          <w:rFonts w:ascii="Aptos" w:hAnsi="Aptos" w:eastAsia="Aptos"/>
          <w:b/>
          <w:i w:val="0"/>
          <w:color w:val="7C2130"/>
          <w:sz w:val="23"/>
        </w:rPr>
        <w:t xml:space="preserve">6. </w:t>
      </w:r>
      <w:r>
        <w:rPr>
          <w:rFonts w:ascii="Aptos" w:hAnsi="Aptos" w:eastAsia="Aptos"/>
          <w:b w:val="0"/>
          <w:i w:val="0"/>
          <w:color w:val="222222"/>
          <w:sz w:val="23"/>
        </w:rPr>
        <w:t>Nutze die Figur dort, wo Benennung und Deutung in einem Schlag zusammenfallen sollen.</w:t>
      </w:r>
    </w:p>
    <w:p>
      <w:pPr>
        <w:spacing w:before="200" w:after="80"/>
      </w:pPr>
      <w:r>
        <w:rPr>
          <w:rFonts w:ascii="Aptos" w:hAnsi="Aptos" w:eastAsia="Aptos"/>
          <w:b/>
          <w:i w:val="0"/>
          <w:color w:val="9C6B1F"/>
          <w:sz w:val="30"/>
        </w:rPr>
        <w:t>Warnung und Merksätze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7F4F1"/>
            <w:tcBorders>
              <w:top w:val="single" w:sz="8" w:color="D8C9BC"/>
              <w:left w:val="single" w:sz="8" w:color="D8C9BC"/>
              <w:bottom w:val="single" w:sz="8" w:color="D8C9BC"/>
              <w:right w:val="single" w:sz="8" w:color="D8C9BC"/>
            </w:tcBorders>
          </w:tcPr>
          <w:p>
            <w:pPr>
              <w:spacing w:after="120"/>
            </w:pPr>
            <w:r>
              <w:rPr>
                <w:rFonts w:ascii="Aptos" w:hAnsi="Aptos" w:eastAsia="Aptos"/>
                <w:b/>
                <w:i w:val="0"/>
                <w:color w:val="9C6B1F"/>
                <w:sz w:val="26"/>
              </w:rPr>
            </w:r>
          </w:p>
          <w:p>
            <w:pPr>
              <w:spacing w:after="100"/>
            </w:pPr>
            <w:r>
              <w:rPr>
                <w:rFonts w:ascii="Aptos" w:hAnsi="Aptos" w:eastAsia="Aptos"/>
                <w:b w:val="0"/>
                <w:i w:val="0"/>
                <w:color w:val="222222"/>
                <w:sz w:val="23"/>
              </w:rPr>
              <w:t>Eine unklare Antonomasie bleibt nur dekorative Umschreibung. Ohne eindeutigen Referenten verliert die Figur ihre Schärfe.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/>
                <w:i w:val="0"/>
                <w:color w:val="7C2130"/>
                <w:sz w:val="23"/>
              </w:rPr>
              <w:t xml:space="preserve">Merksatz: </w:t>
            </w:r>
            <w:r>
              <w:rPr>
                <w:rFonts w:ascii="Aptos" w:hAnsi="Aptos" w:eastAsia="Aptos"/>
                <w:b w:val="0"/>
                <w:i w:val="0"/>
                <w:color w:val="7C2130"/>
                <w:sz w:val="23"/>
              </w:rPr>
              <w:t>Antonomasie nennt nicht nur – sie deutet.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/>
                <w:i w:val="0"/>
                <w:color w:val="7C2130"/>
                <w:sz w:val="23"/>
              </w:rPr>
              <w:t xml:space="preserve">Merksatz: </w:t>
            </w:r>
            <w:r>
              <w:rPr>
                <w:rFonts w:ascii="Aptos" w:hAnsi="Aptos" w:eastAsia="Aptos"/>
                <w:b w:val="0"/>
                <w:i w:val="0"/>
                <w:color w:val="7C2130"/>
                <w:sz w:val="23"/>
              </w:rPr>
              <w:t>Wo der Name weicht, tritt das Profil hervor.</w:t>
            </w:r>
          </w:p>
          <w:p>
            <w:pPr>
              <w:spacing w:after="100"/>
            </w:pPr>
            <w:r>
              <w:rPr>
                <w:rFonts w:ascii="Aptos" w:hAnsi="Aptos" w:eastAsia="Aptos"/>
                <w:b/>
                <w:i w:val="0"/>
                <w:color w:val="7C2130"/>
                <w:sz w:val="23"/>
              </w:rPr>
              <w:t xml:space="preserve">Merksatz: </w:t>
            </w:r>
            <w:r>
              <w:rPr>
                <w:rFonts w:ascii="Aptos" w:hAnsi="Aptos" w:eastAsia="Aptos"/>
                <w:b w:val="0"/>
                <w:i w:val="0"/>
                <w:color w:val="7C2130"/>
                <w:sz w:val="23"/>
              </w:rPr>
              <w:t>Nicht jeder Titel ist Antonomasie; entscheidend ist der echte Namensersatz.</w:t>
            </w:r>
          </w:p>
        </w:tc>
      </w:tr>
    </w:tbl>
    <w:p>
      <w:pPr>
        <w:spacing w:after="40"/>
      </w:pPr>
    </w:p>
    <w:p>
      <w:pPr>
        <w:spacing w:before="160" w:after="0"/>
        <w:jc w:val="left"/>
      </w:pPr>
      <w:r>
        <w:rPr>
          <w:rFonts w:ascii="Aptos" w:hAnsi="Aptos" w:eastAsia="Aptos"/>
          <w:b w:val="0"/>
          <w:i w:val="0"/>
          <w:color w:val="666666"/>
          <w:sz w:val="19"/>
        </w:rPr>
        <w:t>Quelle: Lausberg, Handbuch der literarischen Rhetorik, §§ 580–581 (Scan „Antonomasie.pdf“).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66666"/>
        <w:sz w:val="19"/>
      </w:rPr>
      <w:t>MEISTERREDNER | Stilmittel-Einleger Tiefgang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i w:val="0"/>
        <w:color w:val="666666"/>
        <w:sz w:val="19"/>
      </w:rPr>
      <w:t>MEISTERREDNER | Stilmittel-Einleger | Tiefgang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