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1F4E79"/>
          <w:sz w:val="44"/>
        </w:rPr>
        <w:t>Annominatio</w:t>
      </w:r>
    </w:p>
    <w:p>
      <w:pPr>
        <w:spacing w:after="160"/>
        <w:jc w:val="center"/>
      </w:pPr>
      <w:r>
        <w:rPr>
          <w:rFonts w:ascii="Aptos" w:hAnsi="Aptos"/>
          <w:i/>
          <w:color w:val="505050"/>
          <w:sz w:val="21"/>
        </w:rPr>
        <w:t>Latein: annominatio · Griechisch: παρονομασία (nahverw.)</w:t>
      </w:r>
    </w:p>
    <w:p>
      <w:pPr>
        <w:spacing w:after="240"/>
        <w:jc w:val="center"/>
      </w:pPr>
      <w:r>
        <w:rPr>
          <w:rFonts w:ascii="Aptos" w:hAnsi="Aptos"/>
          <w:color w:val="606060"/>
          <w:sz w:val="21"/>
        </w:rPr>
        <w:t>Fundus Benjamin · klassische Formeln · predigtfähige Neubildungen · Baupläne</w:t>
      </w:r>
    </w:p>
    <w:p>
      <w:pPr>
        <w:spacing w:after="80"/>
      </w:pPr>
      <w:r>
        <w:rPr>
          <w:rFonts w:ascii="Aptos" w:hAnsi="Aptos"/>
          <w:b/>
          <w:color w:val="1F4E79"/>
          <w:sz w:val="25"/>
        </w:rPr>
        <w:t>Arbeitsprofil</w:t>
      </w:r>
    </w:p>
    <w:p>
      <w:pPr>
        <w:spacing w:line="276" w:lineRule="auto" w:after="160"/>
      </w:pPr>
      <w:r>
        <w:rPr>
          <w:rFonts w:ascii="Aptos" w:hAnsi="Aptos"/>
          <w:sz w:val="21"/>
        </w:rPr>
        <w:t>Diese Werkstattfassung bündelt eine Lausberg-nahe Kurzdefinition, Kernmuster, klassische Belege, predigtnahe Anwendungen und eine knappe Bauanleitung. Sie ist als editierbarer Kapitelbaustein gedacht.</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fill="D9EAF7"/>
            <w:vAlign w:val="center"/>
          </w:tcPr>
          <w:p>
            <w:pPr>
              <w:jc w:val="center"/>
            </w:pPr>
            <w:r>
              <w:rPr>
                <w:rFonts w:ascii="Aptos" w:hAnsi="Aptos"/>
                <w:b/>
                <w:sz w:val="19"/>
              </w:rPr>
              <w:t>Griechisch / Latein</w:t>
            </w:r>
          </w:p>
        </w:tc>
        <w:tc>
          <w:tcPr>
            <w:tcW w:type="dxa" w:w="2438"/>
            <w:shd w:fill="D9EAF7"/>
            <w:vAlign w:val="center"/>
          </w:tcPr>
          <w:p>
            <w:pPr>
              <w:jc w:val="center"/>
            </w:pPr>
            <w:r>
              <w:rPr>
                <w:rFonts w:ascii="Aptos" w:hAnsi="Aptos"/>
                <w:b/>
                <w:sz w:val="19"/>
              </w:rPr>
              <w:t>Formel</w:t>
            </w:r>
          </w:p>
        </w:tc>
        <w:tc>
          <w:tcPr>
            <w:tcW w:type="dxa" w:w="2438"/>
            <w:shd w:fill="D9EAF7"/>
            <w:vAlign w:val="center"/>
          </w:tcPr>
          <w:p>
            <w:pPr>
              <w:jc w:val="center"/>
            </w:pPr>
            <w:r>
              <w:rPr>
                <w:rFonts w:ascii="Aptos" w:hAnsi="Aptos"/>
                <w:b/>
                <w:sz w:val="19"/>
              </w:rPr>
              <w:t>Kernwirkung</w:t>
            </w:r>
          </w:p>
        </w:tc>
        <w:tc>
          <w:tcPr>
            <w:tcW w:type="dxa" w:w="2438"/>
            <w:shd w:fill="D9EAF7"/>
            <w:vAlign w:val="center"/>
          </w:tcPr>
          <w:p>
            <w:pPr>
              <w:jc w:val="center"/>
            </w:pPr>
            <w:r>
              <w:rPr>
                <w:rFonts w:ascii="Aptos" w:hAnsi="Aptos"/>
                <w:b/>
                <w:sz w:val="19"/>
              </w:rPr>
              <w:t>Lausberg</w:t>
            </w:r>
          </w:p>
        </w:tc>
      </w:tr>
      <w:tr>
        <w:tc>
          <w:tcPr>
            <w:tcW w:type="dxa" w:w="2438"/>
            <w:vAlign w:val="center"/>
          </w:tcPr>
          <w:p>
            <w:pPr>
              <w:jc w:val="left"/>
            </w:pPr>
            <w:r>
              <w:rPr>
                <w:rFonts w:ascii="Aptos" w:hAnsi="Aptos"/>
                <w:sz w:val="19"/>
              </w:rPr>
              <w:t>Latein: annominatio · Griechisch: παρονομασία (nahverw.)</w:t>
            </w:r>
          </w:p>
        </w:tc>
        <w:tc>
          <w:tcPr>
            <w:tcW w:type="dxa" w:w="2438"/>
            <w:vAlign w:val="center"/>
          </w:tcPr>
          <w:p>
            <w:pPr>
              <w:jc w:val="center"/>
            </w:pPr>
            <w:r>
              <w:rPr>
                <w:rFonts w:ascii="Aptos" w:hAnsi="Aptos"/>
                <w:sz w:val="19"/>
              </w:rPr>
              <w:t>a ~ a′ / Stammnähe oder Lautnähe bei Bedeutungsverschiebung</w:t>
            </w:r>
          </w:p>
        </w:tc>
        <w:tc>
          <w:tcPr>
            <w:tcW w:type="dxa" w:w="2438"/>
            <w:vAlign w:val="center"/>
          </w:tcPr>
          <w:p>
            <w:pPr>
              <w:jc w:val="center"/>
            </w:pPr>
            <w:r>
              <w:rPr>
                <w:rFonts w:ascii="Aptos" w:hAnsi="Aptos"/>
                <w:sz w:val="19"/>
              </w:rPr>
              <w:t>Pointierung, Merkfähigkeit, sprachliche Schärfe, Witz</w:t>
            </w:r>
          </w:p>
        </w:tc>
        <w:tc>
          <w:tcPr>
            <w:tcW w:type="dxa" w:w="2438"/>
            <w:vAlign w:val="center"/>
          </w:tcPr>
          <w:p>
            <w:pPr>
              <w:jc w:val="center"/>
            </w:pPr>
            <w:r>
              <w:rPr>
                <w:rFonts w:ascii="Aptos" w:hAnsi="Aptos"/>
                <w:sz w:val="19"/>
              </w:rPr>
              <w:t>Lausberg §§ 638–639</w:t>
            </w:r>
          </w:p>
        </w:tc>
      </w:tr>
    </w:tbl>
    <w:p>
      <w:pPr>
        <w:spacing w:after="80"/>
      </w:pPr>
    </w:p>
    <w:p>
      <w:pPr>
        <w:pStyle w:val="Heading1"/>
        <w:spacing w:before="160" w:after="40"/>
      </w:pPr>
      <w:r>
        <w:rPr>
          <w:rFonts w:ascii="Aptos" w:hAnsi="Aptos"/>
          <w:b/>
          <w:color w:val="1F4E79"/>
          <w:sz w:val="30"/>
        </w:rPr>
        <w:t>Definition</w:t>
      </w:r>
    </w:p>
    <w:p>
      <w:pPr>
        <w:spacing w:line="276" w:lineRule="auto" w:after="120"/>
      </w:pPr>
      <w:r>
        <w:rPr>
          <w:rFonts w:ascii="Aptos" w:hAnsi="Aptos"/>
          <w:sz w:val="21"/>
        </w:rPr>
        <w:t>Die Annominatio erzeugt rhetorische Nähe und Spannung durch geringe lautliche oder buchstäbliche Veränderung ähnlich klingender Wörter. Bei Lausberg steht sie im Feld der Paronomasie und umfasst Zusätze, Wegnahmen, Vertauschungen und andere minimale Formverschiebungen.</w:t>
      </w:r>
    </w:p>
    <w:p>
      <w:pPr>
        <w:pStyle w:val="Heading1"/>
        <w:spacing w:before="160" w:after="40"/>
      </w:pPr>
      <w:r>
        <w:rPr>
          <w:rFonts w:ascii="Aptos" w:hAnsi="Aptos"/>
          <w:b/>
          <w:color w:val="1F4E79"/>
          <w:sz w:val="30"/>
        </w:rPr>
        <w:t>Lausberg-nahe Erklärung</w:t>
      </w:r>
    </w:p>
    <w:p>
      <w:pPr>
        <w:spacing w:line="276" w:lineRule="auto" w:after="120"/>
      </w:pPr>
      <w:r>
        <w:rPr>
          <w:rFonts w:ascii="Aptos" w:hAnsi="Aptos"/>
          <w:sz w:val="21"/>
        </w:rPr>
        <w:t>Schlagkraft, Witz, Merkfähigkeit, semantische Schärfung, oft polemische oder pointierende Wirkung.</w:t>
      </w:r>
    </w:p>
    <w:p>
      <w:pPr>
        <w:pStyle w:val="Heading1"/>
        <w:spacing w:before="160" w:after="40"/>
      </w:pPr>
      <w:r>
        <w:rPr>
          <w:rFonts w:ascii="Aptos" w:hAnsi="Aptos"/>
          <w:b/>
          <w:color w:val="1F4E79"/>
          <w:sz w:val="30"/>
        </w:rPr>
        <w:t>Abgrenzung</w:t>
      </w:r>
    </w:p>
    <w:p>
      <w:pPr>
        <w:pStyle w:val="ListBullet"/>
        <w:spacing w:after="40"/>
        <w:ind w:left="227"/>
      </w:pPr>
      <w:r>
        <w:rPr>
          <w:rFonts w:ascii="Aptos" w:hAnsi="Aptos"/>
          <w:sz w:val="21"/>
        </w:rPr>
        <w:t>Derivatio: echte Wortfamilie bzw. Stammableitung.</w:t>
      </w:r>
    </w:p>
    <w:p>
      <w:pPr>
        <w:pStyle w:val="ListBullet"/>
        <w:spacing w:after="40"/>
        <w:ind w:left="227"/>
      </w:pPr>
      <w:r>
        <w:rPr>
          <w:rFonts w:ascii="Aptos" w:hAnsi="Aptos"/>
          <w:sz w:val="21"/>
        </w:rPr>
        <w:t>Polyptoton: gleicher Stamm mit Flexionswechsel.</w:t>
      </w:r>
    </w:p>
    <w:p>
      <w:pPr>
        <w:pStyle w:val="ListBullet"/>
        <w:spacing w:after="40"/>
        <w:ind w:left="227"/>
      </w:pPr>
      <w:r>
        <w:rPr>
          <w:rFonts w:ascii="Aptos" w:hAnsi="Aptos"/>
          <w:sz w:val="21"/>
        </w:rPr>
        <w:t>Homoeoteleuton: Gleichklang nur an den Enden.</w:t>
      </w:r>
    </w:p>
    <w:p>
      <w:pPr>
        <w:pStyle w:val="ListBullet"/>
        <w:spacing w:after="40"/>
        <w:ind w:left="227"/>
      </w:pPr>
      <w:r>
        <w:rPr>
          <w:rFonts w:ascii="Aptos" w:hAnsi="Aptos"/>
          <w:sz w:val="21"/>
        </w:rPr>
        <w:t>Traductio: dasselbe Wort wird wiederholt, nicht nur ein ähnlich klingendes.</w:t>
      </w:r>
    </w:p>
    <w:p>
      <w:pPr>
        <w:pStyle w:val="Heading1"/>
      </w:pPr>
      <w:r>
        <w:rPr>
          <w:rFonts w:ascii="Aptos" w:hAnsi="Aptos"/>
          <w:b/>
          <w:color w:val="1F4E79"/>
          <w:sz w:val="30"/>
        </w:rPr>
        <w:t>Originale | klassische Muster</w:t>
      </w:r>
    </w:p>
    <w:p>
      <w:pPr>
        <w:spacing w:before="40" w:after="80" w:line="264" w:lineRule="auto"/>
      </w:pPr>
      <w:r>
        <w:rPr>
          <w:rFonts w:ascii="Aptos" w:hAnsi="Aptos"/>
          <w:b/>
          <w:color w:val="1F4E79"/>
          <w:sz w:val="21"/>
        </w:rPr>
        <w:t xml:space="preserve">Latein </w:t>
      </w:r>
      <w:r>
        <w:rPr>
          <w:rFonts w:ascii="Aptos" w:hAnsi="Aptos"/>
          <w:i/>
          <w:sz w:val="21"/>
        </w:rPr>
        <w:t>nisi amori mallet obtemperare</w:t>
      </w:r>
    </w:p>
    <w:p>
      <w:pPr>
        <w:spacing w:before="0" w:after="40" w:line="264" w:lineRule="auto"/>
      </w:pPr>
      <w:r>
        <w:rPr>
          <w:rFonts w:ascii="Aptos" w:hAnsi="Aptos"/>
          <w:sz w:val="21"/>
        </w:rPr>
        <w:t>wenn er nicht lieber der Liebe gehorchen wollte.</w:t>
      </w:r>
    </w:p>
    <w:p>
      <w:pPr>
        <w:spacing w:before="0" w:after="80"/>
      </w:pPr>
      <w:r>
        <w:rPr>
          <w:rFonts w:ascii="Aptos" w:hAnsi="Aptos"/>
          <w:color w:val="606060"/>
          <w:sz w:val="19"/>
        </w:rPr>
        <w:t>Notiz: Klangnahe Reibung zwischen temperare und obtemperare.</w:t>
      </w:r>
    </w:p>
    <w:p>
      <w:pPr>
        <w:spacing w:before="40" w:after="80" w:line="264" w:lineRule="auto"/>
      </w:pPr>
      <w:r>
        <w:rPr>
          <w:rFonts w:ascii="Aptos" w:hAnsi="Aptos"/>
          <w:b/>
          <w:color w:val="1F4E79"/>
          <w:sz w:val="21"/>
        </w:rPr>
        <w:t xml:space="preserve">Latein </w:t>
      </w:r>
      <w:r>
        <w:rPr>
          <w:rFonts w:ascii="Aptos" w:hAnsi="Aptos"/>
          <w:i/>
          <w:sz w:val="21"/>
        </w:rPr>
        <w:t>patres conscripti circumscripti</w:t>
      </w:r>
    </w:p>
    <w:p>
      <w:pPr>
        <w:spacing w:before="0" w:after="40" w:line="264" w:lineRule="auto"/>
      </w:pPr>
      <w:r>
        <w:rPr>
          <w:rFonts w:ascii="Aptos" w:hAnsi="Aptos"/>
          <w:sz w:val="21"/>
        </w:rPr>
        <w:t>die eingeschriebenen Väter – die eingeschlossenen / hereingelegten Väter.</w:t>
      </w:r>
    </w:p>
    <w:p>
      <w:pPr>
        <w:spacing w:before="0" w:after="80"/>
      </w:pPr>
      <w:r>
        <w:rPr>
          <w:rFonts w:ascii="Aptos" w:hAnsi="Aptos"/>
          <w:color w:val="606060"/>
          <w:sz w:val="19"/>
        </w:rPr>
        <w:t>Notiz: Politische Pointe durch minimale Lautverschiebung.</w:t>
      </w:r>
    </w:p>
    <w:p>
      <w:pPr>
        <w:spacing w:before="40" w:after="80" w:line="264" w:lineRule="auto"/>
      </w:pPr>
      <w:r>
        <w:rPr>
          <w:rFonts w:ascii="Aptos" w:hAnsi="Aptos"/>
          <w:b/>
          <w:color w:val="1F4E79"/>
          <w:sz w:val="21"/>
        </w:rPr>
        <w:t xml:space="preserve">Latein </w:t>
      </w:r>
      <w:r>
        <w:rPr>
          <w:rFonts w:ascii="Aptos" w:hAnsi="Aptos"/>
          <w:i/>
          <w:sz w:val="21"/>
        </w:rPr>
        <w:t>urbis ... orbis</w:t>
      </w:r>
    </w:p>
    <w:p>
      <w:pPr>
        <w:spacing w:before="0" w:after="40" w:line="264" w:lineRule="auto"/>
      </w:pPr>
      <w:r>
        <w:rPr>
          <w:rFonts w:ascii="Aptos" w:hAnsi="Aptos"/>
          <w:sz w:val="21"/>
        </w:rPr>
        <w:t>der Stadt ... des Erdkreises.</w:t>
      </w:r>
    </w:p>
    <w:p>
      <w:pPr>
        <w:spacing w:before="0" w:after="80"/>
      </w:pPr>
      <w:r>
        <w:rPr>
          <w:rFonts w:ascii="Aptos" w:hAnsi="Aptos"/>
          <w:color w:val="606060"/>
          <w:sz w:val="19"/>
        </w:rPr>
        <w:t>Notiz: Paronomastische Wirkung durch Buchstabenwechsel.</w:t>
      </w:r>
    </w:p>
    <w:p>
      <w:pPr>
        <w:spacing w:before="40" w:after="80" w:line="264" w:lineRule="auto"/>
      </w:pPr>
      <w:r>
        <w:rPr>
          <w:rFonts w:ascii="Aptos" w:hAnsi="Aptos"/>
          <w:b/>
          <w:color w:val="1F4E79"/>
          <w:sz w:val="21"/>
        </w:rPr>
        <w:t xml:space="preserve">Französisch </w:t>
      </w:r>
      <w:r>
        <w:rPr>
          <w:rFonts w:ascii="Aptos" w:hAnsi="Aptos"/>
          <w:i/>
          <w:sz w:val="21"/>
        </w:rPr>
        <w:t>Il pleure dans mon cœur / comme il pleut sur la ville.</w:t>
      </w:r>
    </w:p>
    <w:p>
      <w:pPr>
        <w:spacing w:before="0" w:after="40" w:line="264" w:lineRule="auto"/>
      </w:pPr>
      <w:r>
        <w:rPr>
          <w:rFonts w:ascii="Aptos" w:hAnsi="Aptos"/>
          <w:sz w:val="21"/>
        </w:rPr>
        <w:t>Es weint in meinem Herzen, wie es auf die Stadt regnet.</w:t>
      </w:r>
    </w:p>
    <w:p>
      <w:pPr>
        <w:spacing w:before="0" w:after="80"/>
      </w:pPr>
      <w:r>
        <w:rPr>
          <w:rFonts w:ascii="Aptos" w:hAnsi="Aptos"/>
          <w:color w:val="606060"/>
          <w:sz w:val="19"/>
        </w:rPr>
        <w:t>Notiz: Paronomastische Annäherung durch pleure / pleut.</w:t>
      </w:r>
    </w:p>
    <w:p>
      <w:pPr>
        <w:pStyle w:val="Heading1"/>
      </w:pPr>
      <w:r>
        <w:rPr>
          <w:rFonts w:ascii="Aptos" w:hAnsi="Aptos"/>
          <w:b/>
          <w:color w:val="1F4E79"/>
          <w:sz w:val="30"/>
        </w:rPr>
        <w:t>Fundus Benjamin | predigtnahe Beispiele</w:t>
      </w:r>
    </w:p>
    <w:p>
      <w:pPr>
        <w:spacing w:line="269" w:lineRule="auto" w:after="60"/>
      </w:pPr>
      <w:r>
        <w:rPr>
          <w:rFonts w:ascii="Aptos" w:hAnsi="Aptos"/>
          <w:b w:val="0"/>
          <w:sz w:val="21"/>
        </w:rPr>
        <w:t>Wer nur sein Image pflegt, verliert am Ende das Ebenbild.</w:t>
      </w:r>
    </w:p>
    <w:p>
      <w:pPr>
        <w:spacing w:before="0" w:after="80"/>
      </w:pPr>
      <w:r>
        <w:rPr>
          <w:rFonts w:ascii="Aptos" w:hAnsi="Aptos"/>
          <w:color w:val="606060"/>
          <w:sz w:val="19"/>
        </w:rPr>
        <w:t>Zweck: prophetische Zuspitzung · Publikum: Gemeinde / Jugend · Notiz: Annominatio mit theologischer Pointe.</w:t>
      </w:r>
    </w:p>
    <w:p>
      <w:pPr>
        <w:spacing w:line="269" w:lineRule="auto" w:after="60"/>
      </w:pPr>
      <w:r>
        <w:rPr>
          <w:rFonts w:ascii="Aptos" w:hAnsi="Aptos"/>
          <w:b w:val="0"/>
          <w:sz w:val="21"/>
        </w:rPr>
        <w:t>Aus Genuss wird Genusssucht, aus Freiheit Freiflug in den Fall.</w:t>
      </w:r>
    </w:p>
    <w:p>
      <w:pPr>
        <w:spacing w:before="0" w:after="80"/>
      </w:pPr>
      <w:r>
        <w:rPr>
          <w:rFonts w:ascii="Aptos" w:hAnsi="Aptos"/>
          <w:color w:val="606060"/>
          <w:sz w:val="19"/>
        </w:rPr>
        <w:t>Zweck: Warnung · Publikum: Jugendliche / Erwachsene · Notiz: Paronomastische Kippfigur.</w:t>
      </w:r>
    </w:p>
    <w:p>
      <w:pPr>
        <w:pStyle w:val="Heading1"/>
      </w:pPr>
      <w:r>
        <w:rPr>
          <w:rFonts w:ascii="Aptos" w:hAnsi="Aptos"/>
          <w:b/>
          <w:color w:val="1F4E79"/>
          <w:sz w:val="30"/>
        </w:rPr>
        <w:t>Bauanleitung</w:t>
      </w:r>
    </w:p>
    <w:p>
      <w:pPr>
        <w:pStyle w:val="ListBullet"/>
        <w:spacing w:after="40"/>
        <w:ind w:left="227"/>
      </w:pPr>
      <w:r>
        <w:rPr>
          <w:rFonts w:ascii="Aptos" w:hAnsi="Aptos"/>
          <w:sz w:val="21"/>
        </w:rPr>
        <w:t>Zwei nahe Klangkörper suchen.</w:t>
      </w:r>
    </w:p>
    <w:p>
      <w:pPr>
        <w:pStyle w:val="ListBullet"/>
        <w:spacing w:after="40"/>
        <w:ind w:left="227"/>
      </w:pPr>
      <w:r>
        <w:rPr>
          <w:rFonts w:ascii="Aptos" w:hAnsi="Aptos"/>
          <w:sz w:val="21"/>
        </w:rPr>
        <w:t>Semantische Verschiebung klar machen.</w:t>
      </w:r>
    </w:p>
    <w:p>
      <w:pPr>
        <w:pStyle w:val="ListBullet"/>
        <w:spacing w:after="40"/>
        <w:ind w:left="227"/>
      </w:pPr>
      <w:r>
        <w:rPr>
          <w:rFonts w:ascii="Aptos" w:hAnsi="Aptos"/>
          <w:sz w:val="21"/>
        </w:rPr>
        <w:t>Kurze Form bevorzugen.</w:t>
      </w:r>
    </w:p>
    <w:p>
      <w:pPr>
        <w:pStyle w:val="ListBullet"/>
        <w:spacing w:after="40"/>
        <w:ind w:left="227"/>
      </w:pPr>
      <w:r>
        <w:rPr>
          <w:rFonts w:ascii="Aptos" w:hAnsi="Aptos"/>
          <w:sz w:val="21"/>
        </w:rPr>
        <w:t>Nicht mehr als ein bis zwei Wortspiele pro Passage stapeln.</w:t>
      </w:r>
    </w:p>
    <w:p>
      <w:pPr>
        <w:pStyle w:val="Heading1"/>
      </w:pPr>
      <w:r>
        <w:rPr>
          <w:rFonts w:ascii="Aptos" w:hAnsi="Aptos"/>
          <w:b/>
          <w:color w:val="1F4E79"/>
          <w:sz w:val="30"/>
        </w:rPr>
        <w:t>Warnung / Grenzfälle</w:t>
      </w:r>
    </w:p>
    <w:p>
      <w:pPr>
        <w:pStyle w:val="ListBullet"/>
        <w:spacing w:after="40"/>
        <w:ind w:left="227"/>
      </w:pPr>
      <w:r>
        <w:rPr>
          <w:rFonts w:ascii="Aptos" w:hAnsi="Aptos"/>
          <w:sz w:val="21"/>
        </w:rPr>
        <w:t>Wenn das Wortspiel wichtiger als der Gedanke wird.</w:t>
      </w:r>
    </w:p>
    <w:p>
      <w:pPr>
        <w:pStyle w:val="ListBullet"/>
        <w:spacing w:after="40"/>
        <w:ind w:left="227"/>
      </w:pPr>
      <w:r>
        <w:rPr>
          <w:rFonts w:ascii="Aptos" w:hAnsi="Aptos"/>
          <w:sz w:val="21"/>
        </w:rPr>
        <w:t>Wenn nur Soundeffekt ohne semantische Tragfähigkeit entsteht.</w:t>
      </w:r>
    </w:p>
    <w:p>
      <w:pPr>
        <w:pStyle w:val="ListBullet"/>
        <w:spacing w:after="40"/>
        <w:ind w:left="227"/>
      </w:pPr>
      <w:r>
        <w:rPr>
          <w:rFonts w:ascii="Aptos" w:hAnsi="Aptos"/>
          <w:sz w:val="21"/>
        </w:rPr>
        <w:t>Verwechslungen: Derivatio, Polyptoton, bloßer Reim</w:t>
      </w:r>
    </w:p>
    <w:p>
      <w:pPr>
        <w:pStyle w:val="Heading1"/>
      </w:pPr>
      <w:r>
        <w:rPr>
          <w:rFonts w:ascii="Aptos" w:hAnsi="Aptos"/>
          <w:b/>
          <w:color w:val="1F4E79"/>
          <w:sz w:val="30"/>
        </w:rPr>
        <w:t>Merksätze</w:t>
      </w:r>
    </w:p>
    <w:p>
      <w:pPr>
        <w:pStyle w:val="ListBullet"/>
        <w:spacing w:after="40"/>
        <w:ind w:left="227"/>
      </w:pPr>
      <w:r>
        <w:rPr>
          <w:rFonts w:ascii="Aptos" w:hAnsi="Aptos"/>
          <w:sz w:val="21"/>
        </w:rPr>
        <w:t>Ähnlich klingende Wörter werden gegeneinander ausgespielt.</w:t>
      </w:r>
    </w:p>
    <w:p>
      <w:pPr>
        <w:pStyle w:val="ListBullet"/>
        <w:spacing w:after="40"/>
        <w:ind w:left="227"/>
      </w:pPr>
      <w:r>
        <w:rPr>
          <w:rFonts w:ascii="Aptos" w:hAnsi="Aptos"/>
          <w:sz w:val="21"/>
        </w:rPr>
        <w:t>Formel: a ~ a′ / Stammnähe oder Lautnähe bei Bedeutungsverschiebung</w:t>
      </w:r>
    </w:p>
    <w:p>
      <w:pPr>
        <w:pStyle w:val="ListBullet"/>
        <w:spacing w:after="40"/>
        <w:ind w:left="227"/>
      </w:pPr>
      <w:r>
        <w:rPr>
          <w:rFonts w:ascii="Aptos" w:hAnsi="Aptos"/>
          <w:sz w:val="21"/>
        </w:rPr>
        <w:t>Prüffrage: Laut- oder Buchstabennähe ist hörbar.</w:t>
      </w:r>
    </w:p>
    <w:p>
      <w:pPr>
        <w:pStyle w:val="Heading2"/>
      </w:pPr>
      <w:r>
        <w:rPr>
          <w:rFonts w:ascii="Aptos" w:hAnsi="Aptos"/>
          <w:b/>
          <w:color w:val="1F4E79"/>
          <w:sz w:val="24"/>
        </w:rPr>
        <w:t>Editorische Notiz</w:t>
      </w:r>
    </w:p>
    <w:p>
      <w:r>
        <w:rPr>
          <w:rFonts w:ascii="Aptos" w:hAnsi="Aptos"/>
          <w:color w:val="606060"/>
          <w:sz w:val="19"/>
        </w:rPr>
        <w:t>Quellenbasis: Annominatio, Polyptoton - KM_C301i26040910460.pdf. Die griechische Benennung ist im Scan nur im Paronomasie-Umfeld greifbar; daher vorsichtig ausgewiesen.</w:t>
      </w:r>
    </w:p>
    <w:sectPr w:rsidR="00FC693F" w:rsidRPr="0006063C" w:rsidSect="00034616">
      <w:headerReference w:type="default" r:id="rId9"/>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06060"/>
        <w:sz w:val="19"/>
      </w:rPr>
      <w:t>MEISTERREDNER | Stilmittel-Einleger | Tiefgang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