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1F4E79"/>
          <w:sz w:val="44"/>
        </w:rPr>
        <w:t>Antitheton</w:t>
      </w:r>
    </w:p>
    <w:p>
      <w:pPr>
        <w:spacing w:after="160"/>
        <w:jc w:val="center"/>
      </w:pPr>
      <w:r>
        <w:rPr>
          <w:rFonts w:ascii="Aptos" w:hAnsi="Aptos"/>
          <w:i/>
          <w:color w:val="505050"/>
          <w:sz w:val="21"/>
        </w:rPr>
        <w:t>Griechisch: ἀντίθεσις · Latein: antitheton / antithesis</w:t>
      </w:r>
    </w:p>
    <w:p>
      <w:pPr>
        <w:spacing w:after="240"/>
        <w:jc w:val="center"/>
      </w:pPr>
      <w:r>
        <w:rPr>
          <w:rFonts w:ascii="Aptos" w:hAnsi="Aptos"/>
          <w:color w:val="606060"/>
          <w:sz w:val="21"/>
        </w:rPr>
        <w:t>Fundus Benjamin · klassische Formeln · predigtfähige Neubildungen · Baupläne</w:t>
      </w:r>
    </w:p>
    <w:p>
      <w:pPr>
        <w:spacing w:after="80"/>
      </w:pPr>
      <w:r>
        <w:rPr>
          <w:rFonts w:ascii="Aptos" w:hAnsi="Aptos"/>
          <w:b/>
          <w:color w:val="1F4E79"/>
          <w:sz w:val="25"/>
        </w:rPr>
        <w:t>Arbeitsprofil</w:t>
      </w:r>
    </w:p>
    <w:p>
      <w:pPr>
        <w:spacing w:line="276" w:lineRule="auto" w:after="160"/>
      </w:pPr>
      <w:r>
        <w:rPr>
          <w:rFonts w:ascii="Aptos" w:hAnsi="Aptos"/>
          <w:sz w:val="21"/>
        </w:rPr>
        <w:t>Diese Werkstattfassung bündelt eine Lausberg-nahe Kurzdefinition, Kernmuster, klassische Belege, predigtnahe Anwendungen und eine knappe Bauanleitung. Sie ist als editierbarer Kapitelbaustein gedacht.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Griechisch / Latein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Formel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Kernwirkung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Lausberg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Griechisch: ἀντίθεσις · Latein: antitheton / antithesis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 – B / hinc … illinc … / nicht x, sondern y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Schärfung, Entscheidung, Klarheit, Merkfähigkeit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Lausberg §§ 787–793</w:t>
            </w:r>
          </w:p>
        </w:tc>
      </w:tr>
    </w:tbl>
    <w:p>
      <w:pPr>
        <w:spacing w:after="80"/>
      </w:pP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Definition</w:t>
      </w:r>
    </w:p>
    <w:p>
      <w:pPr>
        <w:spacing w:line="276" w:lineRule="auto" w:after="120"/>
      </w:pPr>
      <w:r>
        <w:rPr>
          <w:rFonts w:ascii="Aptos" w:hAnsi="Aptos"/>
          <w:sz w:val="21"/>
        </w:rPr>
        <w:t>Das Antitheton stellt Gegensätzliches in paralleler oder isokolischer Form einander gegenüber. Die formale Gleichheit der Glieder steigert gerade den inhaltlichen Gegensatz.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Lausberg-nahe Erklärung</w:t>
      </w:r>
    </w:p>
    <w:p>
      <w:pPr>
        <w:spacing w:line="276" w:lineRule="auto" w:after="120"/>
      </w:pPr>
      <w:r>
        <w:rPr>
          <w:rFonts w:ascii="Aptos" w:hAnsi="Aptos"/>
          <w:sz w:val="21"/>
        </w:rPr>
        <w:t>Klärung, Entscheidung, Zuspitzung, Argumentationsdruck und starke Einprägsamkeit.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Abgrenzung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Oxymoron: Gegensatz im engen Wortverbund.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Correctio: Zurücknahme einer Aussage zugunsten einer stärkeren.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Comparatio: Vergleich statt Gegenüberstellung.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Commutatio: invertierte Wiederholung derselben Stämme.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Originale | klassische Muster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vicit pudorem libido, timorem audacia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Die Begierde besiegte die Scham, die Kühnheit die Furcht.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Mehrfache koordinierte Einzelwort-Antithese.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frigida pugnabant calidis, humentia siccis, mollia cum duris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Kalte stritten mit Warmem, Feuchtes mit Trockenem, Weiches mit Hartem.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Ovidisches Muster der antithetischen Gegenpaarung.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contra malum bonum, contra mortem vita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Gegen das Böse das Gute, gegen den Tod das Leben.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Theologisch anschlussfähige Kontrastbildung.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Französisch </w:t>
      </w:r>
      <w:r>
        <w:rPr>
          <w:rFonts w:ascii="Aptos" w:hAnsi="Aptos"/>
          <w:i/>
          <w:sz w:val="21"/>
        </w:rPr>
        <w:t>Fier ennemi de Rome, et de Rome estimé.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Stolzer Feind Roms – und von Rom geachtet.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Knappe französische Antithese.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Fundus Benjamin | predigtnahe Beispiele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Nicht die Nacht trägt das letzte Wort – das Licht Christi trägt es.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Osterpredigt · Publikum: Gemeinde · Notiz: Evangelische Finalantithese.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Nicht dein Versagen definiert dich, sondern die Treue Gottes.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Seelsorge · Publikum: Belastete Hörer · Notiz: Tröstende Antithese.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Bauanleitung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Kontrastpartner präzise bestimmen.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Form möglichst parallel halten.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Das stärkere Glied ans Ende setzen.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Inhaltlich erden, nicht nur formal spiegeln.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Warnung / Grenzfälle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der Sachverhalt nicht wirklich binär ist.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zu viele Antithesen die Rede schematisch machen.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Verwechslungen: Oxymoron, Correctio, bloßer Vergleich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Merksätze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Gegensätze werden scharf und parallel nebeneinander gesetzt.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Formel: A – B / hinc … illinc … / nicht x, sondern y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Prüffrage: Gegensinn liegt im Inhalt.</w:t>
      </w:r>
    </w:p>
    <w:p>
      <w:pPr>
        <w:pStyle w:val="Heading2"/>
      </w:pPr>
      <w:r>
        <w:rPr>
          <w:rFonts w:ascii="Aptos" w:hAnsi="Aptos"/>
          <w:b/>
          <w:color w:val="1F4E79"/>
          <w:sz w:val="24"/>
        </w:rPr>
        <w:t>Editorische Notiz</w:t>
      </w:r>
    </w:p>
    <w:p>
      <w:r>
        <w:rPr>
          <w:rFonts w:ascii="Aptos" w:hAnsi="Aptos"/>
          <w:color w:val="606060"/>
          <w:sz w:val="19"/>
        </w:rPr>
        <w:t>Quellenbasis: Antitheton - KM_C301i26040910580.pdf, Antitheton - KM_C301i26040910590.pdf. Die beiden Antitheton-Scans wurden zusammen gelesen, weil sie denselben Abschnitt ergänzen.</w:t>
      </w:r>
    </w:p>
    <w:sectPr w:rsidR="00FC693F" w:rsidRPr="0006063C" w:rsidSect="00034616">
      <w:head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06060"/>
        <w:sz w:val="19"/>
      </w:rPr>
      <w:t>MEISTERREDNER | Stilmittel-Einleger | Tiefgang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