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" w:hAnsi="Aptos"/>
          <w:b/>
          <w:color w:val="1F4E79"/>
          <w:sz w:val="44"/>
        </w:rPr>
        <w:t>Asyndeton</w:t>
      </w:r>
    </w:p>
    <w:p>
      <w:pPr>
        <w:spacing w:after="160"/>
        <w:jc w:val="center"/>
      </w:pPr>
      <w:r>
        <w:rPr>
          <w:rFonts w:ascii="Aptos" w:hAnsi="Aptos"/>
          <w:i/>
          <w:color w:val="505050"/>
          <w:sz w:val="21"/>
        </w:rPr>
        <w:t>Griechisch: ἀσύνδετον · Latein: dissolutio / inconexio / asyndeton</w:t>
      </w:r>
    </w:p>
    <w:p>
      <w:pPr>
        <w:spacing w:after="240"/>
        <w:jc w:val="center"/>
      </w:pPr>
      <w:r>
        <w:rPr>
          <w:rFonts w:ascii="Aptos" w:hAnsi="Aptos"/>
          <w:color w:val="606060"/>
          <w:sz w:val="21"/>
        </w:rPr>
        <w:t>Fundus Benjamin · klassische Formeln · predigtfähige Neubildungen · Baupläne</w:t>
      </w:r>
    </w:p>
    <w:p>
      <w:pPr>
        <w:spacing w:after="80"/>
      </w:pPr>
      <w:r>
        <w:rPr>
          <w:rFonts w:ascii="Aptos" w:hAnsi="Aptos"/>
          <w:b/>
          <w:color w:val="1F4E79"/>
          <w:sz w:val="25"/>
        </w:rPr>
        <w:t>Arbeitsprofil</w:t>
      </w:r>
    </w:p>
    <w:p>
      <w:pPr>
        <w:spacing w:line="276" w:lineRule="auto" w:after="160"/>
      </w:pPr>
      <w:r>
        <w:rPr>
          <w:rFonts w:ascii="Aptos" w:hAnsi="Aptos"/>
          <w:sz w:val="21"/>
        </w:rPr>
        <w:t>Diese Werkstattfassung bündelt eine Lausberg-nahe Kurzdefinition, Kernmuster, klassische Belege, predigtnahe Anwendungen und eine knappe Bauanleitung. Sie ist als editierbarer Kapitelbaustein gedacht.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Griechisch / Latein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Formel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Kernwirkung</w:t>
            </w:r>
          </w:p>
        </w:tc>
        <w:tc>
          <w:tcPr>
            <w:tcW w:type="dxa" w:w="2438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Lausberg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>
              <w:rPr>
                <w:rFonts w:ascii="Aptos" w:hAnsi="Aptos"/>
                <w:sz w:val="19"/>
              </w:rPr>
              <w:t>Griechisch: ἀσύνδετον · Latein: dissolutio / inconexio / asyndeton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a, b, c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Tempo, Härte, Dichte, Druck</w:t>
            </w:r>
          </w:p>
        </w:tc>
        <w:tc>
          <w:tcPr>
            <w:tcW w:type="dxa" w:w="2438"/>
            <w:vAlign w:val="center"/>
          </w:tcPr>
          <w:p>
            <w:pPr>
              <w:jc w:val="center"/>
            </w:pPr>
            <w:r>
              <w:rPr>
                <w:rFonts w:ascii="Aptos" w:hAnsi="Aptos"/>
                <w:sz w:val="19"/>
              </w:rPr>
              <w:t>Lausberg §§ 709–711</w:t>
            </w:r>
          </w:p>
        </w:tc>
      </w:tr>
    </w:tbl>
    <w:p>
      <w:pPr>
        <w:spacing w:after="80"/>
      </w:pP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Definition</w:t>
      </w:r>
    </w:p>
    <w:p>
      <w:pPr>
        <w:spacing w:line="276" w:lineRule="auto" w:after="120"/>
      </w:pPr>
      <w:r>
        <w:rPr>
          <w:rFonts w:ascii="Aptos" w:hAnsi="Aptos"/>
          <w:sz w:val="21"/>
        </w:rPr>
        <w:t>Das Asyndeton ist die Verbindungslosigkeit koordinierter Glieder, also die Reihung ohne Konjunktionen. Lausberg unterscheidet nominale und verbale Asyndeta sowie Einzelwort- und Wortgruppen-Asyndeta.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Lausberg-nahe Erklärung</w:t>
      </w:r>
    </w:p>
    <w:p>
      <w:pPr>
        <w:spacing w:line="276" w:lineRule="auto" w:after="120"/>
      </w:pPr>
      <w:r>
        <w:rPr>
          <w:rFonts w:ascii="Aptos" w:hAnsi="Aptos"/>
          <w:sz w:val="21"/>
        </w:rPr>
        <w:t>Beschleunigung, Verdichtung, affektive Härte, Schlagkraft und eindringliche Aufzählung.</w:t>
      </w:r>
    </w:p>
    <w:p>
      <w:pPr>
        <w:pStyle w:val="Heading1"/>
        <w:spacing w:before="160" w:after="40"/>
      </w:pPr>
      <w:r>
        <w:rPr>
          <w:rFonts w:ascii="Aptos" w:hAnsi="Aptos"/>
          <w:b/>
          <w:color w:val="1F4E79"/>
          <w:sz w:val="30"/>
        </w:rPr>
        <w:t>Abgrenzung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Polysyndeton: die Reihung wird gerade durch viele Konjunktionen getragen.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Adiunctio / Disiunctio: terminologische Untertypen bei Wortgruppen.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Brachylogia: Kürze ist nicht identisch mit Konjunktionslosigkeit.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Originale | klassische Muster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aera, manus, navalia demus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Lasst uns Bronze, Hände, Schiffsgerät geben.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Nominales Einzelwort-Asyndeton.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haec eadem, Aenea, terram, mare, sidera iuro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Dies alles, Aeneas, schwöre ich bei Erde, Meer, Gestirnen.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Feierliche asyndetische Aufzählung.</w:t>
      </w:r>
    </w:p>
    <w:p>
      <w:pPr>
        <w:spacing w:before="40" w:after="80" w:line="264" w:lineRule="auto"/>
      </w:pPr>
      <w:r>
        <w:rPr>
          <w:rFonts w:ascii="Aptos" w:hAnsi="Aptos"/>
          <w:b/>
          <w:color w:val="1F4E79"/>
          <w:sz w:val="21"/>
        </w:rPr>
        <w:t xml:space="preserve">Latein </w:t>
      </w:r>
      <w:r>
        <w:rPr>
          <w:rFonts w:ascii="Aptos" w:hAnsi="Aptos"/>
          <w:i/>
          <w:sz w:val="21"/>
        </w:rPr>
        <w:t>quid vesper serus vehat, unde serenas ventus agat nubes, quid cogitet humidus auster</w:t>
      </w:r>
    </w:p>
    <w:p>
      <w:pPr>
        <w:spacing w:before="0" w:after="40" w:line="264" w:lineRule="auto"/>
      </w:pPr>
      <w:r>
        <w:rPr>
          <w:rFonts w:ascii="Aptos" w:hAnsi="Aptos"/>
          <w:sz w:val="21"/>
        </w:rPr>
        <w:t>Was der späte Abend bringt, woher der Wind die heiteren Wolken treibt, was der feuchte Südwind im Sinn hat.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Notiz: Verbales Wortgruppen-Asyndeton.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Fundus Benjamin | predigtnahe Beispiele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Staub. Blut. Schweigen. Spott. Und mitten darin: Liebe.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Passionspredigt · Publikum: Gemeinde · Notiz: Harte Bildsplitter vor evangelischem Gegenschlag.</w:t>
      </w:r>
    </w:p>
    <w:p>
      <w:pPr>
        <w:spacing w:line="269" w:lineRule="auto" w:after="60"/>
      </w:pPr>
      <w:r>
        <w:rPr>
          <w:rFonts w:ascii="Aptos" w:hAnsi="Aptos"/>
          <w:b w:val="0"/>
          <w:sz w:val="21"/>
        </w:rPr>
        <w:t>Brot. Kelch. Verheißung. Gegenwart.</w:t>
      </w:r>
    </w:p>
    <w:p>
      <w:pPr>
        <w:spacing w:before="0" w:after="80"/>
      </w:pPr>
      <w:r>
        <w:rPr>
          <w:rFonts w:ascii="Aptos" w:hAnsi="Aptos"/>
          <w:color w:val="606060"/>
          <w:sz w:val="19"/>
        </w:rPr>
        <w:t>Zweck: Abendmahl · Publikum: Gemeinde · Notiz: Kurzes liturgisches Asyndeton.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Bauanleitung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Bindewörter bewusst streichen.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Glieder nach Steigerung oder Bildlogik ordnen.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Kurze, sprechbare Elemente bevorzugen.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Bei längeren Reihen einen Gegenschlag setzen.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Warnung / Grenzfälle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die Reihe inhaltlich ungeordnet ist.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Wenn zu viele Glieder den Fokus verwässern.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Verwechslungen: Polysyndeton, bloße Liste, Adiunctio/Disiunctio</w:t>
      </w:r>
    </w:p>
    <w:p>
      <w:pPr>
        <w:pStyle w:val="Heading1"/>
      </w:pPr>
      <w:r>
        <w:rPr>
          <w:rFonts w:ascii="Aptos" w:hAnsi="Aptos"/>
          <w:b/>
          <w:color w:val="1F4E79"/>
          <w:sz w:val="30"/>
        </w:rPr>
        <w:t>Merksätze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Mehrere Glieder stehen ohne Bindewörter hintereinander.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Formel: a, b, c</w:t>
      </w:r>
    </w:p>
    <w:p>
      <w:pPr>
        <w:pStyle w:val="ListBullet"/>
        <w:spacing w:after="40"/>
        <w:ind w:left="227"/>
      </w:pPr>
      <w:r>
        <w:rPr>
          <w:rFonts w:ascii="Aptos" w:hAnsi="Aptos"/>
          <w:sz w:val="21"/>
        </w:rPr>
        <w:t>Prüffrage: Koordinierte Glieder ohne Konjunktion.</w:t>
      </w:r>
    </w:p>
    <w:p>
      <w:pPr>
        <w:pStyle w:val="Heading2"/>
      </w:pPr>
      <w:r>
        <w:rPr>
          <w:rFonts w:ascii="Aptos" w:hAnsi="Aptos"/>
          <w:b/>
          <w:color w:val="1F4E79"/>
          <w:sz w:val="24"/>
        </w:rPr>
        <w:t>Editorische Notiz</w:t>
      </w:r>
    </w:p>
    <w:p>
      <w:r>
        <w:rPr>
          <w:rFonts w:ascii="Aptos" w:hAnsi="Aptos"/>
          <w:color w:val="606060"/>
          <w:sz w:val="19"/>
        </w:rPr>
        <w:t>Quellenbasis: Asyndeton, Anastrophe - KM_C301i26040910520.pdf. Der OCR-Scan enthält auch Anastrophe; hier wurde nur der asyndetische Hauptblock ausgewertet.</w:t>
      </w:r>
    </w:p>
    <w:sectPr w:rsidR="00FC693F" w:rsidRPr="0006063C" w:rsidSect="00034616">
      <w:headerReference w:type="default" r:id="rId9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06060"/>
        <w:sz w:val="19"/>
      </w:rPr>
      <w:t>MEISTERREDNER | Stilmittel-Einleger | Tiefgang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