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color w:val="1F4E79"/>
          <w:sz w:val="44"/>
        </w:rPr>
        <w:t>Communicatio</w:t>
      </w:r>
    </w:p>
    <w:p>
      <w:pPr>
        <w:spacing w:after="160"/>
        <w:jc w:val="center"/>
      </w:pPr>
      <w:r>
        <w:rPr>
          <w:rFonts w:ascii="Aptos" w:hAnsi="Aptos"/>
          <w:i/>
          <w:color w:val="505050"/>
          <w:sz w:val="21"/>
        </w:rPr>
        <w:t>Latein: communicatio · Griechisch: ἀνακοίνωσις</w:t>
      </w:r>
    </w:p>
    <w:p>
      <w:pPr>
        <w:spacing w:after="240"/>
        <w:jc w:val="center"/>
      </w:pPr>
      <w:r>
        <w:rPr>
          <w:rFonts w:ascii="Aptos" w:hAnsi="Aptos"/>
          <w:color w:val="606060"/>
          <w:sz w:val="21"/>
        </w:rPr>
        <w:t>Fundus Benjamin · klassische Formeln · predigtfähige Neubildungen · Baupläne</w:t>
      </w:r>
    </w:p>
    <w:p>
      <w:pPr>
        <w:spacing w:after="80"/>
      </w:pPr>
      <w:r>
        <w:rPr>
          <w:rFonts w:ascii="Aptos" w:hAnsi="Aptos"/>
          <w:b/>
          <w:color w:val="1F4E79"/>
          <w:sz w:val="25"/>
        </w:rPr>
        <w:t>Arbeitsprofil</w:t>
      </w:r>
    </w:p>
    <w:p>
      <w:pPr>
        <w:spacing w:line="276" w:lineRule="auto" w:after="160"/>
      </w:pPr>
      <w:r>
        <w:rPr>
          <w:rFonts w:ascii="Aptos" w:hAnsi="Aptos"/>
          <w:sz w:val="21"/>
        </w:rPr>
        <w:t>Diese Werkstattfassung bündelt eine Lausberg-nahe Kurzdefinition, Kernmuster, klassische Belege, predigtnahe Anwendungen und eine knappe Bauanleitung. Sie ist als editierbarer Kapitelbaustein gedacht.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Griechisch / Latein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Formel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Kernwirkung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Lausberg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Latein: communicatio · Griechisch: ἀνακοίνωσις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vos consulo … quid faciam? / quid faceretis?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Einbezug, Mitdenken, ethische Beteiligung, dramatische Fairness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Lausberg § 779</w:t>
            </w:r>
          </w:p>
        </w:tc>
      </w:tr>
    </w:tbl>
    <w:p>
      <w:pPr>
        <w:spacing w:after="80"/>
      </w:pPr>
    </w:p>
    <w:p>
      <w:pPr>
        <w:pStyle w:val="Heading1"/>
        <w:spacing w:before="160" w:after="40"/>
      </w:pPr>
      <w:r>
        <w:rPr>
          <w:rFonts w:ascii="Aptos" w:hAnsi="Aptos"/>
          <w:b/>
          <w:color w:val="1F4E79"/>
          <w:sz w:val="30"/>
        </w:rPr>
        <w:t>Definition</w:t>
      </w:r>
    </w:p>
    <w:p>
      <w:pPr>
        <w:spacing w:line="276" w:lineRule="auto" w:after="120"/>
      </w:pPr>
      <w:r>
        <w:rPr>
          <w:rFonts w:ascii="Aptos" w:hAnsi="Aptos"/>
          <w:sz w:val="21"/>
        </w:rPr>
        <w:t>Die Communicatio ist die rhetorische Frage um Rat hinsichtlich einer Handlung oder Entscheidung: der Redner berät sich scheinbar mit Richtern, Hörern oder sogar Gegnern. Sie ist mit der dubitatio verwandt, aber nicht auf die Weiterführung der Rede, sondern auf die Handlungsfrage gerichtet.</w:t>
      </w:r>
    </w:p>
    <w:p>
      <w:pPr>
        <w:pStyle w:val="Heading1"/>
        <w:spacing w:before="160" w:after="40"/>
      </w:pPr>
      <w:r>
        <w:rPr>
          <w:rFonts w:ascii="Aptos" w:hAnsi="Aptos"/>
          <w:b/>
          <w:color w:val="1F4E79"/>
          <w:sz w:val="30"/>
        </w:rPr>
        <w:t>Lausberg-nahe Erklärung</w:t>
      </w:r>
    </w:p>
    <w:p>
      <w:pPr>
        <w:spacing w:line="276" w:lineRule="auto" w:after="120"/>
      </w:pPr>
      <w:r>
        <w:rPr>
          <w:rFonts w:ascii="Aptos" w:hAnsi="Aptos"/>
          <w:sz w:val="21"/>
        </w:rPr>
        <w:t>Einbezug des Publikums, Ethos der Fairness, dramatisierte Deliberation, Aktivierung des Mitdenkens.</w:t>
      </w:r>
    </w:p>
    <w:p>
      <w:pPr>
        <w:pStyle w:val="Heading1"/>
        <w:spacing w:before="160" w:after="40"/>
      </w:pPr>
      <w:r>
        <w:rPr>
          <w:rFonts w:ascii="Aptos" w:hAnsi="Aptos"/>
          <w:b/>
          <w:color w:val="1F4E79"/>
          <w:sz w:val="30"/>
        </w:rPr>
        <w:t>Abgrenzung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Dubitatio: Unsicherheit über die Rede-Fortführung.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Permissio: überlässt dem Gegner etwas ausdrücklich.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Concessio: gibt etwas zu, statt um Rat zu fragen.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Originale | klassische Muster</w:t>
      </w:r>
    </w:p>
    <w:p>
      <w:pPr>
        <w:spacing w:before="40" w:after="80" w:line="264" w:lineRule="auto"/>
      </w:pPr>
      <w:r>
        <w:rPr>
          <w:rFonts w:ascii="Aptos" w:hAnsi="Aptos"/>
          <w:b/>
          <w:color w:val="1F4E79"/>
          <w:sz w:val="21"/>
        </w:rPr>
        <w:t xml:space="preserve">Latein </w:t>
      </w:r>
      <w:r>
        <w:rPr>
          <w:rFonts w:ascii="Aptos" w:hAnsi="Aptos"/>
          <w:i/>
          <w:sz w:val="21"/>
        </w:rPr>
        <w:t>nunc ego, iudices, tam vos consulo, quid mihi faciendum putetis</w:t>
      </w:r>
    </w:p>
    <w:p>
      <w:pPr>
        <w:spacing w:before="0" w:after="40" w:line="264" w:lineRule="auto"/>
      </w:pPr>
      <w:r>
        <w:rPr>
          <w:rFonts w:ascii="Aptos" w:hAnsi="Aptos"/>
          <w:sz w:val="21"/>
        </w:rPr>
        <w:t>Nun frage ich euch, Richter, was ihr meint, dass ich tun soll.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Notiz: Klassischer Lausberg-Beleg der communicatio.</w:t>
      </w:r>
    </w:p>
    <w:p>
      <w:pPr>
        <w:spacing w:before="40" w:after="80" w:line="264" w:lineRule="auto"/>
      </w:pPr>
      <w:r>
        <w:rPr>
          <w:rFonts w:ascii="Aptos" w:hAnsi="Aptos"/>
          <w:b/>
          <w:color w:val="1F4E79"/>
          <w:sz w:val="21"/>
        </w:rPr>
        <w:t xml:space="preserve">Latein </w:t>
      </w:r>
      <w:r>
        <w:rPr>
          <w:rFonts w:ascii="Aptos" w:hAnsi="Aptos"/>
          <w:i/>
          <w:sz w:val="21"/>
        </w:rPr>
        <w:t>tu denique, Labiene, quid faceres tali in re ac tempore?</w:t>
      </w:r>
    </w:p>
    <w:p>
      <w:pPr>
        <w:spacing w:before="0" w:after="40" w:line="264" w:lineRule="auto"/>
      </w:pPr>
      <w:r>
        <w:rPr>
          <w:rFonts w:ascii="Aptos" w:hAnsi="Aptos"/>
          <w:sz w:val="21"/>
        </w:rPr>
        <w:t>Du also, Labienus, was würdest du in einer solchen Sache und zu einer solchen Zeit tun?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Notiz: Beratung durch fingierte Gegenfrage an den Gegner.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Fundus Benjamin | predigtnahe Beispiele</w:t>
      </w:r>
    </w:p>
    <w:p>
      <w:pPr>
        <w:spacing w:line="269" w:lineRule="auto" w:after="60"/>
      </w:pPr>
      <w:r>
        <w:rPr>
          <w:rFonts w:ascii="Aptos" w:hAnsi="Aptos"/>
          <w:b w:val="0"/>
          <w:sz w:val="21"/>
        </w:rPr>
        <w:t>Ihr sagt mir: Was soll ein müder Mensch tun, wenn Schuld und Scham ihn zugleich drücken? Ich frage zurück: Wohin sonst als zu Christus?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Zweck: seelsorgliche Deliberation · Publikum: Gemeinde · Notiz: Communicatio mit evangelischer Wende.</w:t>
      </w:r>
    </w:p>
    <w:p>
      <w:pPr>
        <w:spacing w:line="269" w:lineRule="auto" w:after="60"/>
      </w:pPr>
      <w:r>
        <w:rPr>
          <w:rFonts w:ascii="Aptos" w:hAnsi="Aptos"/>
          <w:b w:val="0"/>
          <w:sz w:val="21"/>
        </w:rPr>
        <w:t>Richter eures eigenen Herzens, was würdet ihr dem sagen, der immer wieder flieht und doch Frieden sucht?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Zweck: Bußpredigt · Publikum: Erwachsene · Notiz: Innenwendung durch Communicatio.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Bauanleitung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Konkrete Lage benennen.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Publikum oder Gegner direkt adressieren.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Die Antwort nicht sofort banal vorwegnehmen.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Communicatio zur Handlung oder Einsicht führen.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Warnung / Grenzfälle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Wenn keine reale Alternativlage vorliegt.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Wenn zu viele Scheinfragen die Predigt zerfasern.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Verwechslungen: Dubitatio, rhetorische Frage allgemein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Merksätze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Der Redner fragt sein Publikum oder den Gegner scheinbar um Rat.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Formel: vos consulo … quid faciam? / quid faceretis?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Prüffrage: fingierte Beratung</w:t>
      </w:r>
    </w:p>
    <w:p>
      <w:pPr>
        <w:pStyle w:val="Heading2"/>
      </w:pPr>
      <w:r>
        <w:rPr>
          <w:rFonts w:ascii="Aptos" w:hAnsi="Aptos"/>
          <w:b/>
          <w:color w:val="1F4E79"/>
          <w:sz w:val="24"/>
        </w:rPr>
        <w:t>Editorische Notiz</w:t>
      </w:r>
    </w:p>
    <w:p>
      <w:r>
        <w:rPr>
          <w:rFonts w:ascii="Aptos" w:hAnsi="Aptos"/>
          <w:color w:val="606060"/>
          <w:sz w:val="19"/>
        </w:rPr>
        <w:t>Quellenbasis: Communicatio, Definitio, Conciliatio - KM_C301i26040910570.pdf. Im gleichen Scan stehen definitio und conciliatio; hier wurde bewusst nur die communicatio entfaltet.</w:t>
      </w:r>
    </w:p>
    <w:sectPr w:rsidR="00FC693F" w:rsidRPr="0006063C" w:rsidSect="00034616">
      <w:headerReference w:type="default" r:id="rId9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606060"/>
        <w:sz w:val="19"/>
      </w:rPr>
      <w:t>MEISTERREDNER | Stilmittel-Einleger | Tiefgang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