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b/>
          <w:color w:val="1F4E79"/>
          <w:sz w:val="44"/>
        </w:rPr>
        <w:t>Commutatio</w:t>
      </w:r>
    </w:p>
    <w:p>
      <w:pPr>
        <w:spacing w:after="160"/>
        <w:jc w:val="center"/>
      </w:pPr>
      <w:r>
        <w:rPr>
          <w:rFonts w:ascii="Aptos" w:hAnsi="Aptos"/>
          <w:i/>
          <w:color w:val="505050"/>
          <w:sz w:val="21"/>
        </w:rPr>
        <w:t>Latein: commutatio</w:t>
      </w:r>
    </w:p>
    <w:p>
      <w:pPr>
        <w:spacing w:after="240"/>
        <w:jc w:val="center"/>
      </w:pPr>
      <w:r>
        <w:rPr>
          <w:rFonts w:ascii="Aptos" w:hAnsi="Aptos"/>
          <w:color w:val="606060"/>
          <w:sz w:val="21"/>
        </w:rPr>
        <w:t>Fundus Benjamin · klassische Formeln · predigtfähige Neubildungen · Baupläne</w:t>
      </w:r>
    </w:p>
    <w:p>
      <w:pPr>
        <w:spacing w:after="80"/>
      </w:pPr>
      <w:r>
        <w:rPr>
          <w:rFonts w:ascii="Aptos" w:hAnsi="Aptos"/>
          <w:b/>
          <w:color w:val="1F4E79"/>
          <w:sz w:val="25"/>
        </w:rPr>
        <w:t>Arbeitsprofil</w:t>
      </w:r>
    </w:p>
    <w:p>
      <w:pPr>
        <w:spacing w:line="276" w:lineRule="auto" w:after="160"/>
      </w:pPr>
      <w:r>
        <w:rPr>
          <w:rFonts w:ascii="Aptos" w:hAnsi="Aptos"/>
          <w:sz w:val="21"/>
        </w:rPr>
        <w:t>Diese Werkstattfassung bündelt eine Lausberg-nahe Kurzdefinition, Kernmuster, klassische Belege, predigtnahe Anwendungen und eine knappe Bauanleitung. Sie ist als editierbarer Kapitelbaustein gedacht.</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shd w:fill="D9EAF7"/>
            <w:vAlign w:val="center"/>
          </w:tcPr>
          <w:p>
            <w:pPr>
              <w:jc w:val="center"/>
            </w:pPr>
            <w:r>
              <w:rPr>
                <w:rFonts w:ascii="Aptos" w:hAnsi="Aptos"/>
                <w:b/>
                <w:sz w:val="19"/>
              </w:rPr>
              <w:t>Griechisch / Latein</w:t>
            </w:r>
          </w:p>
        </w:tc>
        <w:tc>
          <w:tcPr>
            <w:tcW w:type="dxa" w:w="2438"/>
            <w:shd w:fill="D9EAF7"/>
            <w:vAlign w:val="center"/>
          </w:tcPr>
          <w:p>
            <w:pPr>
              <w:jc w:val="center"/>
            </w:pPr>
            <w:r>
              <w:rPr>
                <w:rFonts w:ascii="Aptos" w:hAnsi="Aptos"/>
                <w:b/>
                <w:sz w:val="19"/>
              </w:rPr>
              <w:t>Formel</w:t>
            </w:r>
          </w:p>
        </w:tc>
        <w:tc>
          <w:tcPr>
            <w:tcW w:type="dxa" w:w="2438"/>
            <w:shd w:fill="D9EAF7"/>
            <w:vAlign w:val="center"/>
          </w:tcPr>
          <w:p>
            <w:pPr>
              <w:jc w:val="center"/>
            </w:pPr>
            <w:r>
              <w:rPr>
                <w:rFonts w:ascii="Aptos" w:hAnsi="Aptos"/>
                <w:b/>
                <w:sz w:val="19"/>
              </w:rPr>
              <w:t>Kernwirkung</w:t>
            </w:r>
          </w:p>
        </w:tc>
        <w:tc>
          <w:tcPr>
            <w:tcW w:type="dxa" w:w="2438"/>
            <w:shd w:fill="D9EAF7"/>
            <w:vAlign w:val="center"/>
          </w:tcPr>
          <w:p>
            <w:pPr>
              <w:jc w:val="center"/>
            </w:pPr>
            <w:r>
              <w:rPr>
                <w:rFonts w:ascii="Aptos" w:hAnsi="Aptos"/>
                <w:b/>
                <w:sz w:val="19"/>
              </w:rPr>
              <w:t>Lausberg</w:t>
            </w:r>
          </w:p>
        </w:tc>
      </w:tr>
      <w:tr>
        <w:tc>
          <w:tcPr>
            <w:tcW w:type="dxa" w:w="2438"/>
            <w:vAlign w:val="center"/>
          </w:tcPr>
          <w:p>
            <w:pPr>
              <w:jc w:val="left"/>
            </w:pPr>
            <w:r>
              <w:rPr>
                <w:rFonts w:ascii="Aptos" w:hAnsi="Aptos"/>
                <w:sz w:val="19"/>
              </w:rPr>
              <w:t>Latein: commutatio</w:t>
            </w:r>
          </w:p>
        </w:tc>
        <w:tc>
          <w:tcPr>
            <w:tcW w:type="dxa" w:w="2438"/>
            <w:vAlign w:val="center"/>
          </w:tcPr>
          <w:p>
            <w:pPr>
              <w:jc w:val="center"/>
            </w:pPr>
            <w:r>
              <w:rPr>
                <w:rFonts w:ascii="Aptos" w:hAnsi="Aptos"/>
                <w:sz w:val="19"/>
              </w:rPr>
              <w:t>a^x b^y / b^x a^y oder a^x b^y / a^y b^x</w:t>
            </w:r>
          </w:p>
        </w:tc>
        <w:tc>
          <w:tcPr>
            <w:tcW w:type="dxa" w:w="2438"/>
            <w:vAlign w:val="center"/>
          </w:tcPr>
          <w:p>
            <w:pPr>
              <w:jc w:val="center"/>
            </w:pPr>
            <w:r>
              <w:rPr>
                <w:rFonts w:ascii="Aptos" w:hAnsi="Aptos"/>
                <w:sz w:val="19"/>
              </w:rPr>
              <w:t>Pointierung, Umkehrdruck, Merkfähigkeit, dialektische Klarheit</w:t>
            </w:r>
          </w:p>
        </w:tc>
        <w:tc>
          <w:tcPr>
            <w:tcW w:type="dxa" w:w="2438"/>
            <w:vAlign w:val="center"/>
          </w:tcPr>
          <w:p>
            <w:pPr>
              <w:jc w:val="center"/>
            </w:pPr>
            <w:r>
              <w:rPr>
                <w:rFonts w:ascii="Aptos" w:hAnsi="Aptos"/>
                <w:sz w:val="19"/>
              </w:rPr>
              <w:t>Lausberg §§ 800–801</w:t>
            </w:r>
          </w:p>
        </w:tc>
      </w:tr>
    </w:tbl>
    <w:p>
      <w:pPr>
        <w:spacing w:after="80"/>
      </w:pPr>
    </w:p>
    <w:p>
      <w:pPr>
        <w:pStyle w:val="Heading1"/>
        <w:spacing w:before="160" w:after="40"/>
      </w:pPr>
      <w:r>
        <w:rPr>
          <w:rFonts w:ascii="Aptos" w:hAnsi="Aptos"/>
          <w:b/>
          <w:color w:val="1F4E79"/>
          <w:sz w:val="30"/>
        </w:rPr>
        <w:t>Definition</w:t>
      </w:r>
    </w:p>
    <w:p>
      <w:pPr>
        <w:spacing w:line="276" w:lineRule="auto" w:after="120"/>
      </w:pPr>
      <w:r>
        <w:rPr>
          <w:rFonts w:ascii="Aptos" w:hAnsi="Aptos"/>
          <w:sz w:val="21"/>
        </w:rPr>
        <w:t>Die Commutatio stellt einen Gedanken und seine Umkehrung durch Wiederholung zweier Wortstämme oder Sinnträger einander gegenüber, wobei in der Wiederholung die syntaktische Funktion der beiden Träger vertauscht wird. Sie ist eine besondere Form der Überkreuzung und steht dem Polyptoton sowie dem Antitheton nahe.</w:t>
      </w:r>
    </w:p>
    <w:p>
      <w:pPr>
        <w:pStyle w:val="Heading1"/>
        <w:spacing w:before="160" w:after="40"/>
      </w:pPr>
      <w:r>
        <w:rPr>
          <w:rFonts w:ascii="Aptos" w:hAnsi="Aptos"/>
          <w:b/>
          <w:color w:val="1F4E79"/>
          <w:sz w:val="30"/>
        </w:rPr>
        <w:t>Lausberg-nahe Erklärung</w:t>
      </w:r>
    </w:p>
    <w:p>
      <w:pPr>
        <w:spacing w:line="276" w:lineRule="auto" w:after="120"/>
      </w:pPr>
      <w:r>
        <w:rPr>
          <w:rFonts w:ascii="Aptos" w:hAnsi="Aptos"/>
          <w:sz w:val="21"/>
        </w:rPr>
        <w:t>Aphoristische Prägnanz, dialektische Schärfe, Memorisierbarkeit und pointierte Umkehr.</w:t>
      </w:r>
    </w:p>
    <w:p>
      <w:pPr>
        <w:pStyle w:val="Heading1"/>
        <w:spacing w:before="160" w:after="40"/>
      </w:pPr>
      <w:r>
        <w:rPr>
          <w:rFonts w:ascii="Aptos" w:hAnsi="Aptos"/>
          <w:b/>
          <w:color w:val="1F4E79"/>
          <w:sz w:val="30"/>
        </w:rPr>
        <w:t>Abgrenzung</w:t>
      </w:r>
    </w:p>
    <w:p>
      <w:pPr>
        <w:pStyle w:val="ListBullet"/>
        <w:spacing w:after="40"/>
        <w:ind w:left="227"/>
      </w:pPr>
      <w:r>
        <w:rPr>
          <w:rFonts w:ascii="Aptos" w:hAnsi="Aptos"/>
          <w:sz w:val="21"/>
        </w:rPr>
        <w:t>Chiasmus: Überkreuzung ohne notwendige Wiederholung derselben Stämme.</w:t>
      </w:r>
    </w:p>
    <w:p>
      <w:pPr>
        <w:pStyle w:val="ListBullet"/>
        <w:spacing w:after="40"/>
        <w:ind w:left="227"/>
      </w:pPr>
      <w:r>
        <w:rPr>
          <w:rFonts w:ascii="Aptos" w:hAnsi="Aptos"/>
          <w:sz w:val="21"/>
        </w:rPr>
        <w:t>Antitheton: Gegensatz ohne invertierte Stammwiederholung.</w:t>
      </w:r>
    </w:p>
    <w:p>
      <w:pPr>
        <w:pStyle w:val="ListBullet"/>
        <w:spacing w:after="40"/>
        <w:ind w:left="227"/>
      </w:pPr>
      <w:r>
        <w:rPr>
          <w:rFonts w:ascii="Aptos" w:hAnsi="Aptos"/>
          <w:sz w:val="21"/>
        </w:rPr>
        <w:t>Polyptoton: Flexionswechsel desselben Wortes ohne gedankliche Umkehr.</w:t>
      </w:r>
    </w:p>
    <w:p>
      <w:pPr>
        <w:pStyle w:val="ListBullet"/>
        <w:spacing w:after="40"/>
        <w:ind w:left="227"/>
      </w:pPr>
      <w:r>
        <w:rPr>
          <w:rFonts w:ascii="Aptos" w:hAnsi="Aptos"/>
          <w:sz w:val="21"/>
        </w:rPr>
        <w:t>Correctio: Korrektur statt Spiegel-Umkehr.</w:t>
      </w:r>
    </w:p>
    <w:p>
      <w:pPr>
        <w:pStyle w:val="Heading1"/>
      </w:pPr>
      <w:r>
        <w:rPr>
          <w:rFonts w:ascii="Aptos" w:hAnsi="Aptos"/>
          <w:b/>
          <w:color w:val="1F4E79"/>
          <w:sz w:val="30"/>
        </w:rPr>
        <w:t>Originale | klassische Muster</w:t>
      </w:r>
    </w:p>
    <w:p>
      <w:pPr>
        <w:spacing w:before="40" w:after="80" w:line="264" w:lineRule="auto"/>
      </w:pPr>
      <w:r>
        <w:rPr>
          <w:rFonts w:ascii="Aptos" w:hAnsi="Aptos"/>
          <w:b/>
          <w:color w:val="1F4E79"/>
          <w:sz w:val="21"/>
        </w:rPr>
        <w:t xml:space="preserve">Latein </w:t>
      </w:r>
      <w:r>
        <w:rPr>
          <w:rFonts w:ascii="Aptos" w:hAnsi="Aptos"/>
          <w:i/>
          <w:sz w:val="21"/>
        </w:rPr>
        <w:t>non ut edam vivo, sed ut vivam edo</w:t>
      </w:r>
    </w:p>
    <w:p>
      <w:pPr>
        <w:spacing w:before="0" w:after="40" w:line="264" w:lineRule="auto"/>
      </w:pPr>
      <w:r>
        <w:rPr>
          <w:rFonts w:ascii="Aptos" w:hAnsi="Aptos"/>
          <w:sz w:val="21"/>
        </w:rPr>
        <w:t>Ich lebe nicht, um zu essen, sondern ich esse, um zu leben.</w:t>
      </w:r>
    </w:p>
    <w:p>
      <w:pPr>
        <w:spacing w:before="0" w:after="80"/>
      </w:pPr>
      <w:r>
        <w:rPr>
          <w:rFonts w:ascii="Aptos" w:hAnsi="Aptos"/>
          <w:color w:val="606060"/>
          <w:sz w:val="19"/>
        </w:rPr>
        <w:t>Notiz: Schulklassisches Muster der commutatio.</w:t>
      </w:r>
    </w:p>
    <w:p>
      <w:pPr>
        <w:spacing w:before="40" w:after="80" w:line="264" w:lineRule="auto"/>
      </w:pPr>
      <w:r>
        <w:rPr>
          <w:rFonts w:ascii="Aptos" w:hAnsi="Aptos"/>
          <w:b/>
          <w:color w:val="1F4E79"/>
          <w:sz w:val="21"/>
        </w:rPr>
        <w:t xml:space="preserve">Latein </w:t>
      </w:r>
      <w:r>
        <w:rPr>
          <w:rFonts w:ascii="Aptos" w:hAnsi="Aptos"/>
          <w:i/>
          <w:sz w:val="21"/>
        </w:rPr>
        <w:t>in pace bellum quaeritas, in bello pacem desideras</w:t>
      </w:r>
    </w:p>
    <w:p>
      <w:pPr>
        <w:spacing w:before="0" w:after="40" w:line="264" w:lineRule="auto"/>
      </w:pPr>
      <w:r>
        <w:rPr>
          <w:rFonts w:ascii="Aptos" w:hAnsi="Aptos"/>
          <w:sz w:val="21"/>
        </w:rPr>
        <w:t>Im Frieden suchst du Krieg, im Krieg ersehnst du Frieden.</w:t>
      </w:r>
    </w:p>
    <w:p>
      <w:pPr>
        <w:spacing w:before="0" w:after="80"/>
      </w:pPr>
      <w:r>
        <w:rPr>
          <w:rFonts w:ascii="Aptos" w:hAnsi="Aptos"/>
          <w:color w:val="606060"/>
          <w:sz w:val="19"/>
        </w:rPr>
        <w:t>Notiz: Vertauschte Wortstämme in gegenläufiger Funktion.</w:t>
      </w:r>
    </w:p>
    <w:p>
      <w:pPr>
        <w:spacing w:before="40" w:after="80" w:line="264" w:lineRule="auto"/>
      </w:pPr>
      <w:r>
        <w:rPr>
          <w:rFonts w:ascii="Aptos" w:hAnsi="Aptos"/>
          <w:b/>
          <w:color w:val="1F4E79"/>
          <w:sz w:val="21"/>
        </w:rPr>
        <w:t xml:space="preserve">Latein </w:t>
      </w:r>
      <w:r>
        <w:rPr>
          <w:rFonts w:ascii="Aptos" w:hAnsi="Aptos"/>
          <w:i/>
          <w:sz w:val="21"/>
        </w:rPr>
        <w:t>poema loquens pictura, pictura tacitum poema debet esse</w:t>
      </w:r>
    </w:p>
    <w:p>
      <w:pPr>
        <w:spacing w:before="0" w:after="40" w:line="264" w:lineRule="auto"/>
      </w:pPr>
      <w:r>
        <w:rPr>
          <w:rFonts w:ascii="Aptos" w:hAnsi="Aptos"/>
          <w:sz w:val="21"/>
        </w:rPr>
        <w:t>Dichtung ist ein sprechendes Bild; ein Bild soll ein schweigendes Gedicht sein.</w:t>
      </w:r>
    </w:p>
    <w:p>
      <w:pPr>
        <w:spacing w:before="0" w:after="80"/>
      </w:pPr>
      <w:r>
        <w:rPr>
          <w:rFonts w:ascii="Aptos" w:hAnsi="Aptos"/>
          <w:color w:val="606060"/>
          <w:sz w:val="19"/>
        </w:rPr>
        <w:t>Notiz: Berühmter commutatio-Typus mit Kunstvergleich.</w:t>
      </w:r>
    </w:p>
    <w:p>
      <w:pPr>
        <w:spacing w:before="40" w:after="80" w:line="264" w:lineRule="auto"/>
      </w:pPr>
      <w:r>
        <w:rPr>
          <w:rFonts w:ascii="Aptos" w:hAnsi="Aptos"/>
          <w:b/>
          <w:color w:val="1F4E79"/>
          <w:sz w:val="21"/>
        </w:rPr>
        <w:t xml:space="preserve">Latein </w:t>
      </w:r>
      <w:r>
        <w:rPr>
          <w:rFonts w:ascii="Aptos" w:hAnsi="Aptos"/>
          <w:i/>
          <w:sz w:val="21"/>
        </w:rPr>
        <w:t>si consul Antonius, Brutus hostis; si conservator rei publicae Brutus, hostis Antonius</w:t>
      </w:r>
    </w:p>
    <w:p>
      <w:pPr>
        <w:spacing w:before="0" w:after="40" w:line="264" w:lineRule="auto"/>
      </w:pPr>
      <w:r>
        <w:rPr>
          <w:rFonts w:ascii="Aptos" w:hAnsi="Aptos"/>
          <w:sz w:val="21"/>
        </w:rPr>
        <w:t>Wenn Antonius Konsul ist, ist Brutus Feind; wenn Brutus der Bewahrer des Staates ist, ist Antonius Feind.</w:t>
      </w:r>
    </w:p>
    <w:p>
      <w:pPr>
        <w:spacing w:before="0" w:after="80"/>
      </w:pPr>
      <w:r>
        <w:rPr>
          <w:rFonts w:ascii="Aptos" w:hAnsi="Aptos"/>
          <w:color w:val="606060"/>
          <w:sz w:val="19"/>
        </w:rPr>
        <w:t>Notiz: Politische Umkehrfigur.</w:t>
      </w:r>
    </w:p>
    <w:p>
      <w:pPr>
        <w:pStyle w:val="Heading1"/>
      </w:pPr>
      <w:r>
        <w:rPr>
          <w:rFonts w:ascii="Aptos" w:hAnsi="Aptos"/>
          <w:b/>
          <w:color w:val="1F4E79"/>
          <w:sz w:val="30"/>
        </w:rPr>
        <w:t>Fundus Benjamin | predigtnahe Beispiele</w:t>
      </w:r>
    </w:p>
    <w:p>
      <w:pPr>
        <w:spacing w:line="269" w:lineRule="auto" w:after="60"/>
      </w:pPr>
      <w:r>
        <w:rPr>
          <w:rFonts w:ascii="Aptos" w:hAnsi="Aptos"/>
          <w:b w:val="0"/>
          <w:sz w:val="21"/>
        </w:rPr>
        <w:t>Du suchst Frieden ohne Wahrheit; in der Wahrheit findet dich der Frieden.</w:t>
      </w:r>
    </w:p>
    <w:p>
      <w:pPr>
        <w:spacing w:before="0" w:after="80"/>
      </w:pPr>
      <w:r>
        <w:rPr>
          <w:rFonts w:ascii="Aptos" w:hAnsi="Aptos"/>
          <w:color w:val="606060"/>
          <w:sz w:val="19"/>
        </w:rPr>
        <w:t>Zweck: Seelsorge · Publikum: Gemeinde · Notiz: Gedankliche Umkehr in zwei Halbzeilen.</w:t>
      </w:r>
    </w:p>
    <w:p>
      <w:pPr>
        <w:spacing w:line="269" w:lineRule="auto" w:after="60"/>
      </w:pPr>
      <w:r>
        <w:rPr>
          <w:rFonts w:ascii="Aptos" w:hAnsi="Aptos"/>
          <w:b w:val="0"/>
          <w:sz w:val="21"/>
        </w:rPr>
        <w:t>Nicht wir machen das Kreuz verständlich; das Kreuz macht uns verständlich.</w:t>
      </w:r>
    </w:p>
    <w:p>
      <w:pPr>
        <w:spacing w:before="0" w:after="80"/>
      </w:pPr>
      <w:r>
        <w:rPr>
          <w:rFonts w:ascii="Aptos" w:hAnsi="Aptos"/>
          <w:color w:val="606060"/>
          <w:sz w:val="19"/>
        </w:rPr>
        <w:t>Zweck: Karfreitag · Publikum: Gemeinde · Notiz: Christologische commutatio.</w:t>
      </w:r>
    </w:p>
    <w:p>
      <w:pPr>
        <w:pStyle w:val="Heading1"/>
      </w:pPr>
      <w:r>
        <w:rPr>
          <w:rFonts w:ascii="Aptos" w:hAnsi="Aptos"/>
          <w:b/>
          <w:color w:val="1F4E79"/>
          <w:sz w:val="30"/>
        </w:rPr>
        <w:t>Bauanleitung</w:t>
      </w:r>
    </w:p>
    <w:p>
      <w:pPr>
        <w:pStyle w:val="ListBullet"/>
        <w:spacing w:after="40"/>
        <w:ind w:left="227"/>
      </w:pPr>
      <w:r>
        <w:rPr>
          <w:rFonts w:ascii="Aptos" w:hAnsi="Aptos"/>
          <w:sz w:val="21"/>
        </w:rPr>
        <w:t>Zwei tragende Sinnträger bestimmen.</w:t>
      </w:r>
    </w:p>
    <w:p>
      <w:pPr>
        <w:pStyle w:val="ListBullet"/>
        <w:spacing w:after="40"/>
        <w:ind w:left="227"/>
      </w:pPr>
      <w:r>
        <w:rPr>
          <w:rFonts w:ascii="Aptos" w:hAnsi="Aptos"/>
          <w:sz w:val="21"/>
        </w:rPr>
        <w:t>Erstes Glied normal setzen.</w:t>
      </w:r>
    </w:p>
    <w:p>
      <w:pPr>
        <w:pStyle w:val="ListBullet"/>
        <w:spacing w:after="40"/>
        <w:ind w:left="227"/>
      </w:pPr>
      <w:r>
        <w:rPr>
          <w:rFonts w:ascii="Aptos" w:hAnsi="Aptos"/>
          <w:sz w:val="21"/>
        </w:rPr>
        <w:t>Zweites Glied invertieren.</w:t>
      </w:r>
    </w:p>
    <w:p>
      <w:pPr>
        <w:pStyle w:val="ListBullet"/>
        <w:spacing w:after="40"/>
        <w:ind w:left="227"/>
      </w:pPr>
      <w:r>
        <w:rPr>
          <w:rFonts w:ascii="Aptos" w:hAnsi="Aptos"/>
          <w:sz w:val="21"/>
        </w:rPr>
        <w:t>Die Umkehr semantisch tragen lassen.</w:t>
      </w:r>
    </w:p>
    <w:p>
      <w:pPr>
        <w:pStyle w:val="Heading1"/>
      </w:pPr>
      <w:r>
        <w:rPr>
          <w:rFonts w:ascii="Aptos" w:hAnsi="Aptos"/>
          <w:b/>
          <w:color w:val="1F4E79"/>
          <w:sz w:val="30"/>
        </w:rPr>
        <w:t>Warnung / Grenzfälle</w:t>
      </w:r>
    </w:p>
    <w:p>
      <w:pPr>
        <w:pStyle w:val="ListBullet"/>
        <w:spacing w:after="40"/>
        <w:ind w:left="227"/>
      </w:pPr>
      <w:r>
        <w:rPr>
          <w:rFonts w:ascii="Aptos" w:hAnsi="Aptos"/>
          <w:sz w:val="21"/>
        </w:rPr>
        <w:t>Wenn die Umkehr nur formal, nicht gedanklich trägt.</w:t>
      </w:r>
    </w:p>
    <w:p>
      <w:pPr>
        <w:pStyle w:val="ListBullet"/>
        <w:spacing w:after="40"/>
        <w:ind w:left="227"/>
      </w:pPr>
      <w:r>
        <w:rPr>
          <w:rFonts w:ascii="Aptos" w:hAnsi="Aptos"/>
          <w:sz w:val="21"/>
        </w:rPr>
        <w:t>Wenn zu viele ähnliche Spiegelungen manieriert wirken.</w:t>
      </w:r>
    </w:p>
    <w:p>
      <w:pPr>
        <w:pStyle w:val="ListBullet"/>
        <w:spacing w:after="40"/>
        <w:ind w:left="227"/>
      </w:pPr>
      <w:r>
        <w:rPr>
          <w:rFonts w:ascii="Aptos" w:hAnsi="Aptos"/>
          <w:sz w:val="21"/>
        </w:rPr>
        <w:t>Verwechslungen: Chiasmus, Antitheton, Polyptoton</w:t>
      </w:r>
    </w:p>
    <w:p>
      <w:pPr>
        <w:pStyle w:val="Heading1"/>
      </w:pPr>
      <w:r>
        <w:rPr>
          <w:rFonts w:ascii="Aptos" w:hAnsi="Aptos"/>
          <w:b/>
          <w:color w:val="1F4E79"/>
          <w:sz w:val="30"/>
        </w:rPr>
        <w:t>Merksätze</w:t>
      </w:r>
    </w:p>
    <w:p>
      <w:pPr>
        <w:pStyle w:val="ListBullet"/>
        <w:spacing w:after="40"/>
        <w:ind w:left="227"/>
      </w:pPr>
      <w:r>
        <w:rPr>
          <w:rFonts w:ascii="Aptos" w:hAnsi="Aptos"/>
          <w:sz w:val="21"/>
        </w:rPr>
        <w:t>Dieselben Wörter oder Stämme kehren in umgedrehter Ordnung und Funktion wieder.</w:t>
      </w:r>
    </w:p>
    <w:p>
      <w:pPr>
        <w:pStyle w:val="ListBullet"/>
        <w:spacing w:after="40"/>
        <w:ind w:left="227"/>
      </w:pPr>
      <w:r>
        <w:rPr>
          <w:rFonts w:ascii="Aptos" w:hAnsi="Aptos"/>
          <w:sz w:val="21"/>
        </w:rPr>
        <w:t>Formel: a^x b^y / b^x a^y oder a^x b^y / a^y b^x</w:t>
      </w:r>
    </w:p>
    <w:p>
      <w:pPr>
        <w:pStyle w:val="ListBullet"/>
        <w:spacing w:after="40"/>
        <w:ind w:left="227"/>
      </w:pPr>
      <w:r>
        <w:rPr>
          <w:rFonts w:ascii="Aptos" w:hAnsi="Aptos"/>
          <w:sz w:val="21"/>
        </w:rPr>
        <w:t>Prüffrage: Wiederholung derselben Stämme oder Sinnträger</w:t>
      </w:r>
    </w:p>
    <w:p>
      <w:pPr>
        <w:pStyle w:val="Heading2"/>
      </w:pPr>
      <w:r>
        <w:rPr>
          <w:rFonts w:ascii="Aptos" w:hAnsi="Aptos"/>
          <w:b/>
          <w:color w:val="1F4E79"/>
          <w:sz w:val="24"/>
        </w:rPr>
        <w:t>Editorische Notiz</w:t>
      </w:r>
    </w:p>
    <w:p>
      <w:r>
        <w:rPr>
          <w:rFonts w:ascii="Aptos" w:hAnsi="Aptos"/>
          <w:color w:val="606060"/>
          <w:sz w:val="19"/>
        </w:rPr>
        <w:t>Quellenbasis: Commutatio, Distinctio - KM_C301i26040911000.pdf. Die OCR-Quelle enthält auch distinctio; für Batch 1 wurde die commutatio priorisiert.</w:t>
      </w:r>
    </w:p>
    <w:sectPr w:rsidR="00FC693F" w:rsidRPr="0006063C" w:rsidSect="00034616">
      <w:headerReference w:type="default" r:id="rId9"/>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06060"/>
        <w:sz w:val="19"/>
      </w:rPr>
      <w:t>MEISTERREDNER | Stilmittel-Einleger | Tiefgang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