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2E73"/>
          <w:sz w:val="19"/>
        </w:rPr>
        <w:t>MEISTERREDNER | Stilmittel-Einleger | Tiefgang</w:t>
      </w:r>
    </w:p>
    <w:p>
      <w:pPr>
        <w:jc w:val="center"/>
      </w:pPr>
      <w:r>
        <w:rPr>
          <w:b/>
          <w:sz w:val="44"/>
        </w:rPr>
        <w:t>Commoratio</w:t>
      </w:r>
    </w:p>
    <w:p>
      <w:pPr>
        <w:jc w:val="center"/>
      </w:pPr>
      <w:r>
        <w:rPr>
          <w:i/>
          <w:color w:val="5A5A5A"/>
          <w:sz w:val="20"/>
        </w:rPr>
        <w:t>Lausberg-nahe Arbeitsfassung | JSON + Einleger-Bausteine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2381"/>
        <w:gridCol w:w="3061"/>
      </w:tblGrid>
      <w:tr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Griechisch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Latein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Formel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Kernwirkung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>
              <w:t>commoratio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commoratio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Leitgedanke -&gt; wiederholte Rückkehr -&gt; neue sprachliche oder argumentative Beleuchtung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Eindringlichkeit · Verankerung · Konzentration · Amplificatio</w:t>
            </w:r>
          </w:p>
        </w:tc>
      </w:tr>
    </w:tbl>
    <w:p/>
    <w:p>
      <w:pPr>
        <w:spacing w:before="160" w:after="80"/>
      </w:pPr>
      <w:r>
        <w:rPr>
          <w:b/>
          <w:color w:val="5A2E73"/>
          <w:sz w:val="26"/>
        </w:rPr>
        <w:t>Kurzdefinition</w:t>
      </w:r>
    </w:p>
    <w:p>
      <w:r>
        <w:t>Die Commoratio ist das beharrliche Verweilen bei einem tragenden Gedanken, zu dem die Rede wiederholt zurückkehrt. Bei Lausberg erscheint sie als Sonderfall der expolitio: der Zentralgedanke wird nicht verlassen, sondern aus verschiedenen Perspektiven erneut angesetzt.</w:t>
      </w:r>
    </w:p>
    <w:p>
      <w:pPr>
        <w:spacing w:after="80"/>
      </w:pPr>
      <w:r>
        <w:rPr>
          <w:b/>
        </w:rPr>
        <w:t xml:space="preserve">Einfach: </w:t>
      </w:r>
      <w:r>
        <w:t>Bei einem Hauptgedanken bleiben und ihn immer wieder neu ansetzen.</w:t>
      </w:r>
    </w:p>
    <w:p>
      <w:pPr>
        <w:spacing w:before="160" w:after="80"/>
      </w:pPr>
      <w:r>
        <w:rPr>
          <w:b/>
          <w:color w:val="5A2E73"/>
          <w:sz w:val="26"/>
        </w:rPr>
        <w:t>Lausberg-nahe Präzisierung</w:t>
      </w:r>
    </w:p>
    <w:p>
      <w:r>
        <w:t>Die Figur verstärkt den Kern einer Rede, indem sie ihn nicht bloß erwähnt, sondern festhält, umkreist und in der Erinnerung des Hörers verankert.</w:t>
      </w:r>
    </w:p>
    <w:p>
      <w:pPr>
        <w:spacing w:after="80"/>
      </w:pPr>
      <w:r>
        <w:rPr>
          <w:b/>
        </w:rPr>
        <w:t xml:space="preserve">Lausberg-Bezug: </w:t>
      </w:r>
      <w:r>
        <w:t>Lausberg §§ 830-831.</w:t>
      </w:r>
    </w:p>
    <w:p>
      <w:pPr>
        <w:spacing w:before="160" w:after="80"/>
      </w:pPr>
      <w:r>
        <w:rPr>
          <w:b/>
          <w:color w:val="5A2E73"/>
          <w:sz w:val="26"/>
        </w:rPr>
        <w:t>Abgrenzung und Grenzfälle</w:t>
      </w:r>
    </w:p>
    <w:p>
      <w:r>
        <w:t>Expolitio: übergeordneter Bereich der Ausarbeitung; Commoratio ist das Verweilen beim tragenden Punkt.</w:t>
      </w:r>
    </w:p>
    <w:p>
      <w:r>
        <w:t>Eandem rem dicendo: sprachliche Variation desselben Gedankens.</w:t>
      </w:r>
    </w:p>
    <w:p>
      <w:r>
        <w:t>De eadem re dicendo: gedankliche Ausarbeitung desselben Sachverhalts.</w:t>
      </w:r>
    </w:p>
    <w:p>
      <w:pPr>
        <w:spacing w:before="160" w:after="80"/>
      </w:pPr>
      <w:r>
        <w:rPr>
          <w:b/>
          <w:color w:val="5A2E73"/>
          <w:sz w:val="26"/>
        </w:rPr>
        <w:t>Relevante Lausberg-Stellen mit Übersetzung</w:t>
      </w:r>
    </w:p>
    <w:p>
      <w:pPr>
        <w:spacing w:after="40"/>
      </w:pPr>
      <w:r>
        <w:rPr>
          <w:b/>
          <w:color w:val="5A2E73"/>
        </w:rPr>
        <w:t>Rhetorica ad Herennium 4,45,58</w:t>
      </w:r>
    </w:p>
    <w:p>
      <w:r>
        <w:t>commoratio est, cum in loco firmissimo, a quo tota causa continetur, manetur diutius et ad eandem sententiam saepius reditur.</w:t>
      </w:r>
    </w:p>
    <w:p>
      <w:pPr>
        <w:spacing w:after="80"/>
      </w:pPr>
      <w:r>
        <w:rPr>
          <w:b/>
        </w:rPr>
        <w:t xml:space="preserve">Deutsch: </w:t>
      </w:r>
      <w:r>
        <w:t>Commoratio liegt vor, wenn man bei einem besonders tragenden Punkt, von dem der ganze Fall abhängt, länger verweilt und immer wieder zu demselben Gedanken zurückkehrt.</w:t>
      </w:r>
    </w:p>
    <w:p>
      <w:pPr>
        <w:spacing w:after="80"/>
      </w:pPr>
      <w:r>
        <w:rPr>
          <w:b/>
        </w:rPr>
        <w:t xml:space="preserve">Funktionsnotiz: </w:t>
      </w:r>
      <w:r>
        <w:t>Klassische Definition des Verweilens.</w:t>
      </w:r>
    </w:p>
    <w:p/>
    <w:p>
      <w:pPr>
        <w:spacing w:before="160" w:after="80"/>
      </w:pPr>
      <w:r>
        <w:rPr>
          <w:b/>
          <w:color w:val="5A2E73"/>
          <w:sz w:val="26"/>
        </w:rPr>
        <w:t>Fundus Benjamin | predigtnahe Beispiele</w:t>
      </w:r>
    </w:p>
    <w:p>
      <w:pPr>
        <w:spacing w:after="40"/>
      </w:pPr>
      <w:r>
        <w:t>Bleib bei dem einen Satz: Er hat dich nicht aufgegeben. Und dann sag ihn noch einmal anders, wärmer, schärfer, näher.</w:t>
      </w:r>
    </w:p>
    <w:p>
      <w:pPr>
        <w:spacing w:after="80"/>
      </w:pPr>
      <w:r>
        <w:rPr>
          <w:b/>
        </w:rPr>
        <w:t xml:space="preserve">Zweck: </w:t>
      </w:r>
      <w:r>
        <w:t>Seelsorge | Zielgruppe: verunsicherte Gemeinde</w:t>
      </w:r>
    </w:p>
    <w:p>
      <w:pPr>
        <w:spacing w:after="80"/>
      </w:pPr>
      <w:r>
        <w:rPr>
          <w:b/>
        </w:rPr>
        <w:t xml:space="preserve">Notiz: </w:t>
      </w:r>
      <w:r>
        <w:t>Commoratio als tröstende Einhämmerung.</w:t>
      </w:r>
    </w:p>
    <w:p>
      <w:pPr>
        <w:spacing w:after="40"/>
      </w:pPr>
      <w:r>
        <w:t>Die Predigt kreist nicht um zehn Nebenlinien, sondern um das eine Zentrum: Christus für dich.</w:t>
      </w:r>
    </w:p>
    <w:p>
      <w:pPr>
        <w:spacing w:after="80"/>
      </w:pPr>
      <w:r>
        <w:rPr>
          <w:b/>
        </w:rPr>
        <w:t xml:space="preserve">Zweck: </w:t>
      </w:r>
      <w:r>
        <w:t>Abendmahl / Evangelium | Zielgruppe: Gottesdienst</w:t>
      </w:r>
    </w:p>
    <w:p>
      <w:pPr>
        <w:spacing w:after="80"/>
      </w:pPr>
      <w:r>
        <w:rPr>
          <w:b/>
        </w:rPr>
        <w:t xml:space="preserve">Notiz: </w:t>
      </w:r>
      <w:r>
        <w:t>Verweilen beim Zentralgedanken.</w:t>
      </w:r>
    </w:p>
    <w:p>
      <w:pPr>
        <w:spacing w:before="160" w:after="80"/>
      </w:pPr>
      <w:r>
        <w:rPr>
          <w:b/>
          <w:color w:val="5A2E73"/>
          <w:sz w:val="26"/>
        </w:rPr>
        <w:t>Neuschöpfungen | moderne Beispiele</w:t>
      </w:r>
    </w:p>
    <w:p>
      <w:pPr>
        <w:spacing w:after="40"/>
      </w:pPr>
      <w:r>
        <w:t>Nicht schnell weiter. Erst muss die Gemeinde begreifen, dass hier wirklich Christus handelt.</w:t>
      </w:r>
    </w:p>
    <w:p>
      <w:pPr>
        <w:spacing w:after="80"/>
      </w:pPr>
      <w:r>
        <w:rPr>
          <w:b/>
        </w:rPr>
        <w:t xml:space="preserve">Feld: </w:t>
      </w:r>
      <w:r>
        <w:t>Predigtwerkstatt</w:t>
      </w:r>
    </w:p>
    <w:p>
      <w:pPr>
        <w:spacing w:after="80"/>
      </w:pPr>
      <w:r>
        <w:rPr>
          <w:b/>
        </w:rPr>
        <w:t xml:space="preserve">Notiz: </w:t>
      </w:r>
      <w:r>
        <w:t>Metasprachliche Anwendung.</w:t>
      </w:r>
    </w:p>
    <w:p>
      <w:pPr>
        <w:spacing w:after="40"/>
      </w:pPr>
      <w:r>
        <w:t>Wir kehren immer wieder zu derselben Frage zurück: Was trägt, wenn alles andere fällt?</w:t>
      </w:r>
    </w:p>
    <w:p>
      <w:pPr>
        <w:spacing w:after="80"/>
      </w:pPr>
      <w:r>
        <w:rPr>
          <w:b/>
        </w:rPr>
        <w:t xml:space="preserve">Feld: </w:t>
      </w:r>
      <w:r>
        <w:t>Rede / Meditation</w:t>
      </w:r>
    </w:p>
    <w:p>
      <w:pPr>
        <w:spacing w:after="80"/>
      </w:pPr>
      <w:r>
        <w:rPr>
          <w:b/>
        </w:rPr>
        <w:t xml:space="preserve">Notiz: </w:t>
      </w:r>
      <w:r>
        <w:t>Leitgedanke wird gehalten.</w:t>
      </w:r>
    </w:p>
    <w:p>
      <w:pPr>
        <w:spacing w:before="160" w:after="80"/>
      </w:pPr>
      <w:r>
        <w:rPr>
          <w:b/>
          <w:color w:val="5A2E73"/>
          <w:sz w:val="26"/>
        </w:rPr>
        <w:t>Bauanleitung</w:t>
      </w:r>
    </w:p>
    <w:p>
      <w:r>
        <w:t>1. Zuerst einen echten Zentralgedanken bestimmen.</w:t>
      </w:r>
    </w:p>
    <w:p>
      <w:r>
        <w:t>2. Danach sprachlich oder gedanklich mehrfach zu ihm zurückkehren.</w:t>
      </w:r>
    </w:p>
    <w:p>
      <w:r>
        <w:t>3. Jede Wiederkehr muss etwas schärfen, wärmen oder zuspitzen.</w:t>
      </w:r>
    </w:p>
    <w:p>
      <w:r>
        <w:t>4. Nicht zerreden; der Kern muss spürbar derselbe bleiben.</w:t>
      </w:r>
    </w:p>
    <w:p>
      <w:pPr>
        <w:spacing w:before="160" w:after="80"/>
      </w:pPr>
      <w:r>
        <w:rPr>
          <w:b/>
          <w:color w:val="5A2E73"/>
          <w:sz w:val="26"/>
        </w:rPr>
        <w:t>Warnung / häufige Verwechslungen</w:t>
      </w:r>
    </w:p>
    <w:p>
      <w:r>
        <w:t>bloße Wiederholung ohne neue Beleuchtung</w:t>
      </w:r>
    </w:p>
    <w:p>
      <w:r>
        <w:t>weitschweifige Abschweifung</w:t>
      </w:r>
    </w:p>
    <w:p>
      <w:r>
        <w:t>Wenn das Verweilen bloß redundant wird.</w:t>
      </w:r>
    </w:p>
    <w:p>
      <w:r>
        <w:t>Wenn kein tragender Hauptgedanke vorhanden ist.</w:t>
      </w:r>
    </w:p>
    <w:p>
      <w:pPr>
        <w:spacing w:before="160" w:after="80"/>
      </w:pPr>
      <w:r>
        <w:rPr>
          <w:b/>
          <w:color w:val="5A2E73"/>
          <w:sz w:val="26"/>
        </w:rPr>
        <w:t>Merksätze</w:t>
      </w:r>
    </w:p>
    <w:p>
      <w:r>
        <w:t>Commoratio ist kein Kreisen im Nebel, sondern Bleiben am Brennpunkt.</w:t>
      </w:r>
    </w:p>
    <w:p>
      <w:r>
        <w:t>Ein guter Zentralgedanke hält mehrere Wiederkehren aus.</w:t>
      </w:r>
    </w:p>
    <w:p>
      <w:pPr>
        <w:spacing w:before="160" w:after="80"/>
      </w:pPr>
      <w:r>
        <w:rPr>
          <w:b/>
          <w:color w:val="5A2E73"/>
          <w:sz w:val="26"/>
        </w:rPr>
        <w:t>Editorische Notiz</w:t>
      </w:r>
    </w:p>
    <w:p>
      <w:r>
        <w:t>Scanbasierte Rekonstruktion aus der Lausberg-Seite zu expolitio/commoratio.</w:t>
      </w:r>
    </w:p>
    <w:sectPr w:rsidR="00FC693F" w:rsidRPr="0006063C" w:rsidSect="00034616"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