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5A2E73"/>
          <w:sz w:val="19"/>
        </w:rPr>
        <w:t>MEISTERREDNER | Stilmittel-Einleger | Tiefgang</w:t>
      </w:r>
    </w:p>
    <w:p>
      <w:pPr>
        <w:jc w:val="center"/>
      </w:pPr>
      <w:r>
        <w:rPr>
          <w:b/>
          <w:sz w:val="44"/>
        </w:rPr>
        <w:t>Detractio</w:t>
      </w:r>
    </w:p>
    <w:p>
      <w:pPr>
        <w:jc w:val="center"/>
      </w:pPr>
      <w:r>
        <w:rPr>
          <w:i/>
          <w:color w:val="5A5A5A"/>
          <w:sz w:val="20"/>
        </w:rPr>
        <w:t>Lausberg-nahe Arbeitsfassung | JSON + Einleger-Bausteine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1"/>
        <w:gridCol w:w="1871"/>
        <w:gridCol w:w="2381"/>
        <w:gridCol w:w="3061"/>
      </w:tblGrid>
      <w:tr>
        <w:tc>
          <w:tcPr>
            <w:tcW w:type="dxa" w:w="2466"/>
            <w:shd w:fill="EADFF1"/>
          </w:tcPr>
          <w:p>
            <w:pPr>
              <w:jc w:val="center"/>
            </w:pPr>
            <w:r>
              <w:rPr>
                <w:b/>
              </w:rPr>
              <w:t>Griechisch</w:t>
            </w:r>
          </w:p>
        </w:tc>
        <w:tc>
          <w:tcPr>
            <w:tcW w:type="dxa" w:w="2466"/>
            <w:shd w:fill="EADFF1"/>
          </w:tcPr>
          <w:p>
            <w:pPr>
              <w:jc w:val="center"/>
            </w:pPr>
            <w:r>
              <w:rPr>
                <w:b/>
              </w:rPr>
              <w:t>Latein</w:t>
            </w:r>
          </w:p>
        </w:tc>
        <w:tc>
          <w:tcPr>
            <w:tcW w:type="dxa" w:w="2466"/>
            <w:shd w:fill="EADFF1"/>
          </w:tcPr>
          <w:p>
            <w:pPr>
              <w:jc w:val="center"/>
            </w:pPr>
            <w:r>
              <w:rPr>
                <w:b/>
              </w:rPr>
              <w:t>Formel</w:t>
            </w:r>
          </w:p>
        </w:tc>
        <w:tc>
          <w:tcPr>
            <w:tcW w:type="dxa" w:w="2466"/>
            <w:shd w:fill="EADFF1"/>
          </w:tcPr>
          <w:p>
            <w:pPr>
              <w:jc w:val="center"/>
            </w:pPr>
            <w:r>
              <w:rPr>
                <w:b/>
              </w:rPr>
              <w:t>Kernwirkung</w:t>
            </w:r>
          </w:p>
        </w:tc>
      </w:tr>
      <w:tr>
        <w:tc>
          <w:tcPr>
            <w:tcW w:type="dxa" w:w="2466"/>
          </w:tcPr>
          <w:p>
            <w:pPr>
              <w:jc w:val="center"/>
            </w:pPr>
            <w:r>
              <w:t>detractio</w:t>
            </w:r>
          </w:p>
        </w:tc>
        <w:tc>
          <w:tcPr>
            <w:tcW w:type="dxa" w:w="2466"/>
          </w:tcPr>
          <w:p>
            <w:pPr>
              <w:jc w:val="center"/>
            </w:pPr>
            <w:r>
              <w:t>detractio</w:t>
            </w:r>
          </w:p>
        </w:tc>
        <w:tc>
          <w:tcPr>
            <w:tcW w:type="dxa" w:w="2466"/>
          </w:tcPr>
          <w:p>
            <w:pPr>
              <w:jc w:val="center"/>
            </w:pPr>
            <w:r>
              <w:t>Auslassung normaler Satzteile -&gt; neue Beziehung der verbleibenden Elemente</w:t>
            </w:r>
          </w:p>
        </w:tc>
        <w:tc>
          <w:tcPr>
            <w:tcW w:type="dxa" w:w="2466"/>
          </w:tcPr>
          <w:p>
            <w:pPr>
              <w:jc w:val="center"/>
            </w:pPr>
            <w:r>
              <w:t>Kürze · Neuheit · Überraschung · Tempo</w:t>
            </w:r>
          </w:p>
        </w:tc>
      </w:tr>
    </w:tbl>
    <w:p/>
    <w:p>
      <w:pPr>
        <w:spacing w:before="160" w:after="80"/>
      </w:pPr>
      <w:r>
        <w:rPr>
          <w:b/>
          <w:color w:val="5A2E73"/>
          <w:sz w:val="26"/>
        </w:rPr>
        <w:t>Kurzdefinition</w:t>
      </w:r>
    </w:p>
    <w:p>
      <w:r>
        <w:t>Die Detractio ist die Einsparung normalerweise nötiger Satzbestandteile. Bei Lausberg gehört sie zu den Figuren der brevitas; die Auslassung erzeugt ungewohnte syntaktisch-semantische Beziehungen und damit Kürze plus Überraschung.</w:t>
      </w:r>
    </w:p>
    <w:p>
      <w:pPr>
        <w:spacing w:after="80"/>
      </w:pPr>
      <w:r>
        <w:rPr>
          <w:b/>
        </w:rPr>
        <w:t xml:space="preserve">Einfach: </w:t>
      </w:r>
      <w:r>
        <w:t>Etwas sprachlich weglassen, damit der Satz knapper und spannender wird.</w:t>
      </w:r>
    </w:p>
    <w:p>
      <w:pPr>
        <w:spacing w:before="160" w:after="80"/>
      </w:pPr>
      <w:r>
        <w:rPr>
          <w:b/>
          <w:color w:val="5A2E73"/>
          <w:sz w:val="26"/>
        </w:rPr>
        <w:t>Lausberg-nahe Präzisierung</w:t>
      </w:r>
    </w:p>
    <w:p>
      <w:r>
        <w:t>Detractio schafft Beschleunigung, Verdichtung und intellektuelle Überraschung. Der Hörer ergänzt Fehlendes aus dem Zusammenhang.</w:t>
      </w:r>
    </w:p>
    <w:p>
      <w:pPr>
        <w:spacing w:after="80"/>
      </w:pPr>
      <w:r>
        <w:rPr>
          <w:b/>
        </w:rPr>
        <w:t xml:space="preserve">Lausberg-Bezug: </w:t>
      </w:r>
      <w:r>
        <w:t>Lausberg §§ 688-689; Unterarten §§ 690-709.</w:t>
      </w:r>
    </w:p>
    <w:p>
      <w:pPr>
        <w:spacing w:before="160" w:after="80"/>
      </w:pPr>
      <w:r>
        <w:rPr>
          <w:b/>
          <w:color w:val="5A2E73"/>
          <w:sz w:val="26"/>
        </w:rPr>
        <w:t>Abgrenzung und Grenzfälle</w:t>
      </w:r>
    </w:p>
    <w:p>
      <w:r>
        <w:t>Brachylogia: weiter gefasste Kürzefigur; Detractio bezeichnet gezielt die Auslassung.</w:t>
      </w:r>
    </w:p>
    <w:p>
      <w:r>
        <w:t>Zeugma: Sonderform klammerbildender Detractio.</w:t>
      </w:r>
    </w:p>
    <w:p>
      <w:r>
        <w:t>Asyndeton: Weglassen von Bindewörtern, nicht notwendig sonstiger Satzteile.</w:t>
      </w:r>
    </w:p>
    <w:p>
      <w:pPr>
        <w:spacing w:before="160" w:after="80"/>
      </w:pPr>
      <w:r>
        <w:rPr>
          <w:b/>
          <w:color w:val="5A2E73"/>
          <w:sz w:val="26"/>
        </w:rPr>
        <w:t>Relevante Lausberg-Stellen mit Übersetzung</w:t>
      </w:r>
    </w:p>
    <w:p>
      <w:pPr>
        <w:spacing w:after="40"/>
      </w:pPr>
      <w:r>
        <w:rPr>
          <w:b/>
          <w:color w:val="5A2E73"/>
        </w:rPr>
        <w:t>Vergil, Aeneis 11,142; bei Quintilian 8,6,21</w:t>
      </w:r>
    </w:p>
    <w:p>
      <w:r>
        <w:t>Arcades ad portas ruere.</w:t>
      </w:r>
    </w:p>
    <w:p>
      <w:pPr>
        <w:spacing w:after="80"/>
      </w:pPr>
      <w:r>
        <w:rPr>
          <w:b/>
        </w:rPr>
        <w:t xml:space="preserve">Deutsch: </w:t>
      </w:r>
      <w:r>
        <w:t>Die Arkader stürmten zu den Toren.</w:t>
      </w:r>
    </w:p>
    <w:p>
      <w:pPr>
        <w:spacing w:after="80"/>
      </w:pPr>
      <w:r>
        <w:rPr>
          <w:b/>
        </w:rPr>
        <w:t xml:space="preserve">Funktionsnotiz: </w:t>
      </w:r>
      <w:r>
        <w:t>Elliptische Detractio; ein zu ergänzendes Verb oder Hilfselement wird mitgehört.</w:t>
      </w:r>
    </w:p>
    <w:p/>
    <w:p>
      <w:pPr>
        <w:spacing w:after="40"/>
      </w:pPr>
      <w:r>
        <w:rPr>
          <w:b/>
          <w:color w:val="5A2E73"/>
        </w:rPr>
        <w:t>Quintilian 9,3,58</w:t>
      </w:r>
    </w:p>
    <w:p>
      <w:r>
        <w:t>quae per detractionem fiunt figurae, brevitatis novitatisque maxime gratiam petunt.</w:t>
      </w:r>
    </w:p>
    <w:p>
      <w:pPr>
        <w:spacing w:after="80"/>
      </w:pPr>
      <w:r>
        <w:rPr>
          <w:b/>
        </w:rPr>
        <w:t xml:space="preserve">Deutsch: </w:t>
      </w:r>
      <w:r>
        <w:t>Die Figuren, die durch Detraktion entstehen, suchen besonders den Reiz von Kürze und Neuheit.</w:t>
      </w:r>
    </w:p>
    <w:p>
      <w:pPr>
        <w:spacing w:after="80"/>
      </w:pPr>
      <w:r>
        <w:rPr>
          <w:b/>
        </w:rPr>
        <w:t xml:space="preserve">Funktionsnotiz: </w:t>
      </w:r>
      <w:r>
        <w:t>Programmatische Beschreibung der Wirkung.</w:t>
      </w:r>
    </w:p>
    <w:p/>
    <w:p>
      <w:pPr>
        <w:spacing w:before="160" w:after="80"/>
      </w:pPr>
      <w:r>
        <w:rPr>
          <w:b/>
          <w:color w:val="5A2E73"/>
          <w:sz w:val="26"/>
        </w:rPr>
        <w:t>Fundus Benjamin | predigtnahe Beispiele</w:t>
      </w:r>
    </w:p>
    <w:p>
      <w:pPr>
        <w:spacing w:after="40"/>
      </w:pPr>
      <w:r>
        <w:t>Nicht mehr Kraft. Nicht mehr Fassade. Nur Gnade.</w:t>
      </w:r>
    </w:p>
    <w:p>
      <w:pPr>
        <w:spacing w:after="80"/>
      </w:pPr>
      <w:r>
        <w:rPr>
          <w:b/>
        </w:rPr>
        <w:t xml:space="preserve">Zweck: </w:t>
      </w:r>
      <w:r>
        <w:t>Bußpredigt | Zielgruppe: Gemeinde</w:t>
      </w:r>
    </w:p>
    <w:p>
      <w:pPr>
        <w:spacing w:after="80"/>
      </w:pPr>
      <w:r>
        <w:rPr>
          <w:b/>
        </w:rPr>
        <w:t xml:space="preserve">Notiz: </w:t>
      </w:r>
      <w:r>
        <w:t>Detraktiver Dreischlag.</w:t>
      </w:r>
    </w:p>
    <w:p>
      <w:pPr>
        <w:spacing w:after="40"/>
      </w:pPr>
      <w:r>
        <w:t>Vor ihm: Schuld. Hinter ihm: Kreuz. Über ihm: Gnade.</w:t>
      </w:r>
    </w:p>
    <w:p>
      <w:pPr>
        <w:spacing w:after="80"/>
      </w:pPr>
      <w:r>
        <w:rPr>
          <w:b/>
        </w:rPr>
        <w:t xml:space="preserve">Zweck: </w:t>
      </w:r>
      <w:r>
        <w:t>Passion | Zielgruppe: Gottesdienst</w:t>
      </w:r>
    </w:p>
    <w:p>
      <w:pPr>
        <w:spacing w:after="80"/>
      </w:pPr>
      <w:r>
        <w:rPr>
          <w:b/>
        </w:rPr>
        <w:t xml:space="preserve">Notiz: </w:t>
      </w:r>
      <w:r>
        <w:t>Verknappte, bildstarke Setzung.</w:t>
      </w:r>
    </w:p>
    <w:p>
      <w:pPr>
        <w:spacing w:before="160" w:after="80"/>
      </w:pPr>
      <w:r>
        <w:rPr>
          <w:b/>
          <w:color w:val="5A2E73"/>
          <w:sz w:val="26"/>
        </w:rPr>
        <w:t>Neuschöpfungen | moderne Beispiele</w:t>
      </w:r>
    </w:p>
    <w:p>
      <w:pPr>
        <w:spacing w:after="40"/>
      </w:pPr>
      <w:r>
        <w:t>Kein Ausweg. Kein Schlaf. Nur noch Druck.</w:t>
      </w:r>
    </w:p>
    <w:p>
      <w:pPr>
        <w:spacing w:after="80"/>
      </w:pPr>
      <w:r>
        <w:rPr>
          <w:b/>
        </w:rPr>
        <w:t xml:space="preserve">Feld: </w:t>
      </w:r>
      <w:r>
        <w:t>Predigt / Dramatisierung</w:t>
      </w:r>
    </w:p>
    <w:p>
      <w:pPr>
        <w:spacing w:after="80"/>
      </w:pPr>
      <w:r>
        <w:rPr>
          <w:b/>
        </w:rPr>
        <w:t xml:space="preserve">Notiz: </w:t>
      </w:r>
      <w:r>
        <w:t>Abgespeckter Satzbau mit hohem Druck.</w:t>
      </w:r>
    </w:p>
    <w:p>
      <w:pPr>
        <w:spacing w:after="40"/>
      </w:pPr>
      <w:r>
        <w:t>Zuviel Mail. Zuviel Lärm. Zuwenig Stille.</w:t>
      </w:r>
    </w:p>
    <w:p>
      <w:pPr>
        <w:spacing w:after="80"/>
      </w:pPr>
      <w:r>
        <w:rPr>
          <w:b/>
        </w:rPr>
        <w:t xml:space="preserve">Feld: </w:t>
      </w:r>
      <w:r>
        <w:t>Gegenwartsrede</w:t>
      </w:r>
    </w:p>
    <w:p>
      <w:pPr>
        <w:spacing w:after="80"/>
      </w:pPr>
      <w:r>
        <w:rPr>
          <w:b/>
        </w:rPr>
        <w:t xml:space="preserve">Notiz: </w:t>
      </w:r>
      <w:r>
        <w:t>Verdichtete Kürzereihe.</w:t>
      </w:r>
    </w:p>
    <w:p>
      <w:pPr>
        <w:spacing w:before="160" w:after="80"/>
      </w:pPr>
      <w:r>
        <w:rPr>
          <w:b/>
          <w:color w:val="5A2E73"/>
          <w:sz w:val="26"/>
        </w:rPr>
        <w:t>Bauanleitung</w:t>
      </w:r>
    </w:p>
    <w:p>
      <w:r>
        <w:t>1. Nur das weglassen, was der Hörer sicher ergänzen kann.</w:t>
      </w:r>
    </w:p>
    <w:p>
      <w:r>
        <w:t>2. Auf klare Reststruktur achten.</w:t>
      </w:r>
    </w:p>
    <w:p>
      <w:r>
        <w:t>3. Kurze, belastbare Wörter bevorzugen.</w:t>
      </w:r>
    </w:p>
    <w:p>
      <w:r>
        <w:t>4. Besonders wirksam in Dreierfolgen oder antithetischen Setzungen.</w:t>
      </w:r>
    </w:p>
    <w:p>
      <w:pPr>
        <w:spacing w:before="160" w:after="80"/>
      </w:pPr>
      <w:r>
        <w:rPr>
          <w:b/>
          <w:color w:val="5A2E73"/>
          <w:sz w:val="26"/>
        </w:rPr>
        <w:t>Warnung / häufige Verwechslungen</w:t>
      </w:r>
    </w:p>
    <w:p>
      <w:r>
        <w:t>Brachylogia</w:t>
      </w:r>
    </w:p>
    <w:p>
      <w:r>
        <w:t>Asyndeton</w:t>
      </w:r>
    </w:p>
    <w:p>
      <w:r>
        <w:t>schlechter Stil durch Unvollständigkeit</w:t>
      </w:r>
    </w:p>
    <w:p>
      <w:r>
        <w:t>Wenn das Ausgelassene unklar bleibt.</w:t>
      </w:r>
    </w:p>
    <w:p>
      <w:r>
        <w:t>Wenn der Satz nur bruchstückhaft und unerquicklich wirkt.</w:t>
      </w:r>
    </w:p>
    <w:p>
      <w:pPr>
        <w:spacing w:before="160" w:after="80"/>
      </w:pPr>
      <w:r>
        <w:rPr>
          <w:b/>
          <w:color w:val="5A2E73"/>
          <w:sz w:val="26"/>
        </w:rPr>
        <w:t>Merksätze</w:t>
      </w:r>
    </w:p>
    <w:p>
      <w:r>
        <w:t>Detractio nimmt weg, damit die Spannung steigt.</w:t>
      </w:r>
    </w:p>
    <w:p>
      <w:r>
        <w:t>Was fehlt, muss im Hörer mitschwingen.</w:t>
      </w:r>
    </w:p>
    <w:p>
      <w:pPr>
        <w:spacing w:before="160" w:after="80"/>
      </w:pPr>
      <w:r>
        <w:rPr>
          <w:b/>
          <w:color w:val="5A2E73"/>
          <w:sz w:val="26"/>
        </w:rPr>
        <w:t>Editorische Notiz</w:t>
      </w:r>
    </w:p>
    <w:p>
      <w:r>
        <w:t>Best-effort-Rekonstruktion nach OCR des Lausberg-Abschnitts zu figurae per detractionem.</w:t>
      </w:r>
    </w:p>
    <w:sectPr w:rsidR="00FC693F" w:rsidRPr="0006063C" w:rsidSect="00034616">
      <w:pgSz w:w="11906" w:h="16838"/>
      <w:pgMar w:top="1020" w:right="1020" w:bottom="96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9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