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2E73"/>
          <w:sz w:val="19"/>
        </w:rPr>
        <w:t>MEISTERREDNER | Stilmittel-Einleger | Tiefgang</w:t>
      </w:r>
    </w:p>
    <w:p>
      <w:pPr>
        <w:jc w:val="center"/>
      </w:pPr>
      <w:r>
        <w:rPr>
          <w:b/>
          <w:sz w:val="44"/>
        </w:rPr>
        <w:t>Epiphora</w:t>
      </w:r>
    </w:p>
    <w:p>
      <w:pPr>
        <w:jc w:val="center"/>
      </w:pPr>
      <w:r>
        <w:rPr>
          <w:i/>
          <w:color w:val="5A5A5A"/>
          <w:sz w:val="20"/>
        </w:rPr>
        <w:t>Lausberg-nahe Arbeitsfassung | JSON + Einleger-Bausteine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2381"/>
        <w:gridCol w:w="3061"/>
      </w:tblGrid>
      <w:tr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Griechisch</w:t>
            </w:r>
          </w:p>
        </w:tc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Latein</w:t>
            </w:r>
          </w:p>
        </w:tc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Formel</w:t>
            </w:r>
          </w:p>
        </w:tc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Kernwirkung</w:t>
            </w:r>
          </w:p>
        </w:tc>
      </w:tr>
      <w:tr>
        <w:tc>
          <w:tcPr>
            <w:tcW w:type="dxa" w:w="2466"/>
          </w:tcPr>
          <w:p>
            <w:pPr>
              <w:jc w:val="center"/>
            </w:pPr>
            <w:r>
              <w:t>ἐπιφορά / ἐπιστροφή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t>epiphora / conversio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t>... y / ... y / ... y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t>Einprägung · Refrainwirkung · Rhythmus · Verdichtung</w:t>
            </w:r>
          </w:p>
        </w:tc>
      </w:tr>
    </w:tbl>
    <w:p/>
    <w:p>
      <w:pPr>
        <w:spacing w:before="160" w:after="80"/>
      </w:pPr>
      <w:r>
        <w:rPr>
          <w:b/>
          <w:color w:val="5A2E73"/>
          <w:sz w:val="26"/>
        </w:rPr>
        <w:t>Kurzdefinition</w:t>
      </w:r>
    </w:p>
    <w:p>
      <w:r>
        <w:t>Die Epiphora ist die wiederholte Rückkehr desselben Wortes oder derselben Wortgruppe am Ende mehrerer Glieder. Sie ist das Gegenstück zur Anaphora und prägt den Schlusspunkt einer Reihe ein.</w:t>
      </w:r>
    </w:p>
    <w:p>
      <w:pPr>
        <w:spacing w:after="80"/>
      </w:pPr>
      <w:r>
        <w:rPr>
          <w:b/>
        </w:rPr>
        <w:t xml:space="preserve">Einfach: </w:t>
      </w:r>
      <w:r>
        <w:t>Mehrere Glieder enden mit demselben Wort.</w:t>
      </w:r>
    </w:p>
    <w:p>
      <w:pPr>
        <w:spacing w:before="160" w:after="80"/>
      </w:pPr>
      <w:r>
        <w:rPr>
          <w:b/>
          <w:color w:val="5A2E73"/>
          <w:sz w:val="26"/>
        </w:rPr>
        <w:t>Lausberg-nahe Präzisierung</w:t>
      </w:r>
    </w:p>
    <w:p>
      <w:r>
        <w:t>Die Figur hämmert den Zielbegriff ein, bündelt die Reihe auf einen Endklang und eignet sich für Refrain, Urteil, Trost und gerichtete Amplificatio.</w:t>
      </w:r>
    </w:p>
    <w:p>
      <w:pPr>
        <w:spacing w:after="80"/>
      </w:pPr>
      <w:r>
        <w:rPr>
          <w:b/>
        </w:rPr>
        <w:t xml:space="preserve">Lausberg-Bezug: </w:t>
      </w:r>
      <w:r>
        <w:t>Lausberg §§ 631-632; Verweis auf § 633 für complexio.</w:t>
      </w:r>
    </w:p>
    <w:p>
      <w:pPr>
        <w:spacing w:before="160" w:after="80"/>
      </w:pPr>
      <w:r>
        <w:rPr>
          <w:b/>
          <w:color w:val="5A2E73"/>
          <w:sz w:val="26"/>
        </w:rPr>
        <w:t>Abgrenzung und Grenzfälle</w:t>
      </w:r>
    </w:p>
    <w:p>
      <w:r>
        <w:t>Anaphora: Wiederholung am Anfang.</w:t>
      </w:r>
    </w:p>
    <w:p>
      <w:r>
        <w:t>Complexio: gleicher Anfang und gleicher Schluss.</w:t>
      </w:r>
    </w:p>
    <w:p>
      <w:r>
        <w:t>Homoeoteleuton: Lautähnlichkeit am Ende statt identischer Wortwiederholung.</w:t>
      </w:r>
    </w:p>
    <w:p>
      <w:pPr>
        <w:spacing w:before="160" w:after="80"/>
      </w:pPr>
      <w:r>
        <w:rPr>
          <w:b/>
          <w:color w:val="5A2E73"/>
          <w:sz w:val="26"/>
        </w:rPr>
        <w:t>Relevante Lausberg-Stellen mit Übersetzung</w:t>
      </w:r>
    </w:p>
    <w:p>
      <w:pPr>
        <w:spacing w:after="40"/>
      </w:pPr>
      <w:r>
        <w:rPr>
          <w:b/>
          <w:color w:val="5A2E73"/>
        </w:rPr>
        <w:t>Rhetorica ad Herennium 4,18,25</w:t>
      </w:r>
    </w:p>
    <w:p>
      <w:r>
        <w:t>Poenos populus Romanus iustitia vicit, armis vicit, liberalitate vicit.</w:t>
      </w:r>
    </w:p>
    <w:p>
      <w:pPr>
        <w:spacing w:after="80"/>
      </w:pPr>
      <w:r>
        <w:rPr>
          <w:b/>
        </w:rPr>
        <w:t xml:space="preserve">Deutsch: </w:t>
      </w:r>
      <w:r>
        <w:t>Das römische Volk besiegte die Punier durch Gerechtigkeit, besiegte sie mit Waffen, besiegte sie durch Großmut.</w:t>
      </w:r>
    </w:p>
    <w:p>
      <w:pPr>
        <w:spacing w:after="80"/>
      </w:pPr>
      <w:r>
        <w:rPr>
          <w:b/>
        </w:rPr>
        <w:t xml:space="preserve">Funktionsnotiz: </w:t>
      </w:r>
      <w:r>
        <w:t>Klassische Schlusswiederholung mit dem Zielwort vicit.</w:t>
      </w:r>
    </w:p>
    <w:p/>
    <w:p>
      <w:pPr>
        <w:spacing w:after="40"/>
      </w:pPr>
      <w:r>
        <w:rPr>
          <w:b/>
          <w:color w:val="5A2E73"/>
        </w:rPr>
        <w:t>Cicero pro Milone 22,59; bei Quintilian 9,3,30</w:t>
      </w:r>
    </w:p>
    <w:p>
      <w:r>
        <w:t>quis eos postulavit? Appius; quis produxit? Appius.</w:t>
      </w:r>
    </w:p>
    <w:p>
      <w:pPr>
        <w:spacing w:after="80"/>
      </w:pPr>
      <w:r>
        <w:rPr>
          <w:b/>
        </w:rPr>
        <w:t xml:space="preserve">Deutsch: </w:t>
      </w:r>
      <w:r>
        <w:t>Wer hat sie gefordert? Appius. Wer hat sie vorgeführt? Appius.</w:t>
      </w:r>
    </w:p>
    <w:p>
      <w:pPr>
        <w:spacing w:after="80"/>
      </w:pPr>
      <w:r>
        <w:rPr>
          <w:b/>
        </w:rPr>
        <w:t xml:space="preserve">Funktionsnotiz: </w:t>
      </w:r>
      <w:r>
        <w:t>Kurze, schlagende Epiphora.</w:t>
      </w:r>
    </w:p>
    <w:p/>
    <w:p>
      <w:pPr>
        <w:spacing w:before="160" w:after="80"/>
      </w:pPr>
      <w:r>
        <w:rPr>
          <w:b/>
          <w:color w:val="5A2E73"/>
          <w:sz w:val="26"/>
        </w:rPr>
        <w:t>Fundus Benjamin | predigtnahe Beispiele</w:t>
      </w:r>
    </w:p>
    <w:p>
      <w:pPr>
        <w:spacing w:after="40"/>
      </w:pPr>
      <w:r>
        <w:t>Nicht auf dich gestellt - in Christus. Nicht von Gott verlassen - in Christus. Nicht ohne Zukunft - in Christus.</w:t>
      </w:r>
    </w:p>
    <w:p>
      <w:pPr>
        <w:spacing w:after="80"/>
      </w:pPr>
      <w:r>
        <w:rPr>
          <w:b/>
        </w:rPr>
        <w:t xml:space="preserve">Zweck: </w:t>
      </w:r>
      <w:r>
        <w:t>Trost | Zielgruppe: Gemeinde</w:t>
      </w:r>
    </w:p>
    <w:p>
      <w:pPr>
        <w:spacing w:after="80"/>
      </w:pPr>
      <w:r>
        <w:rPr>
          <w:b/>
        </w:rPr>
        <w:t xml:space="preserve">Notiz: </w:t>
      </w:r>
      <w:r>
        <w:t>Wiederholter Zielanker am Satzende.</w:t>
      </w:r>
    </w:p>
    <w:p>
      <w:pPr>
        <w:spacing w:after="40"/>
      </w:pPr>
      <w:r>
        <w:t>Wer trägt dich? Gott. Wer sucht dich? Gott. Wer lässt dich nicht los? Gott.</w:t>
      </w:r>
    </w:p>
    <w:p>
      <w:pPr>
        <w:spacing w:after="80"/>
      </w:pPr>
      <w:r>
        <w:rPr>
          <w:b/>
        </w:rPr>
        <w:t xml:space="preserve">Zweck: </w:t>
      </w:r>
      <w:r>
        <w:t>Seelsorge | Zielgruppe: gemischte Gemeinde</w:t>
      </w:r>
    </w:p>
    <w:p>
      <w:pPr>
        <w:spacing w:after="80"/>
      </w:pPr>
      <w:r>
        <w:rPr>
          <w:b/>
        </w:rPr>
        <w:t xml:space="preserve">Notiz: </w:t>
      </w:r>
      <w:r>
        <w:t>Kurze endständige Einhämmerung.</w:t>
      </w:r>
    </w:p>
    <w:p>
      <w:pPr>
        <w:spacing w:before="160" w:after="80"/>
      </w:pPr>
      <w:r>
        <w:rPr>
          <w:b/>
          <w:color w:val="5A2E73"/>
          <w:sz w:val="26"/>
        </w:rPr>
        <w:t>Neuschöpfungen | moderne Beispiele</w:t>
      </w:r>
    </w:p>
    <w:p>
      <w:pPr>
        <w:spacing w:after="40"/>
      </w:pPr>
      <w:r>
        <w:t>Du kommst müde - zu Christus. Du kommst schuldig - zu Christus. Du kommst hungrig - zu Christus.</w:t>
      </w:r>
    </w:p>
    <w:p>
      <w:pPr>
        <w:spacing w:after="80"/>
      </w:pPr>
      <w:r>
        <w:rPr>
          <w:b/>
        </w:rPr>
        <w:t xml:space="preserve">Feld: </w:t>
      </w:r>
      <w:r>
        <w:t>Abendmahlsliturgie</w:t>
      </w:r>
    </w:p>
    <w:p>
      <w:pPr>
        <w:spacing w:after="80"/>
      </w:pPr>
      <w:r>
        <w:rPr>
          <w:b/>
        </w:rPr>
        <w:t xml:space="preserve">Notiz: </w:t>
      </w:r>
      <w:r>
        <w:t>Pastorale Refrain-Epiphora.</w:t>
      </w:r>
    </w:p>
    <w:p>
      <w:pPr>
        <w:spacing w:after="40"/>
      </w:pPr>
      <w:r>
        <w:t>Wir brauchen Wahrheit. Die Jugend braucht Wahrheit. Die Gemeinde braucht Wahrheit.</w:t>
      </w:r>
    </w:p>
    <w:p>
      <w:pPr>
        <w:spacing w:after="80"/>
      </w:pPr>
      <w:r>
        <w:rPr>
          <w:b/>
        </w:rPr>
        <w:t xml:space="preserve">Feld: </w:t>
      </w:r>
      <w:r>
        <w:t>Rede / Predigt</w:t>
      </w:r>
    </w:p>
    <w:p>
      <w:pPr>
        <w:spacing w:after="80"/>
      </w:pPr>
      <w:r>
        <w:rPr>
          <w:b/>
        </w:rPr>
        <w:t xml:space="preserve">Notiz: </w:t>
      </w:r>
      <w:r>
        <w:t>Schlusswort als Glockenschlag.</w:t>
      </w:r>
    </w:p>
    <w:p>
      <w:pPr>
        <w:spacing w:before="160" w:after="80"/>
      </w:pPr>
      <w:r>
        <w:rPr>
          <w:b/>
          <w:color w:val="5A2E73"/>
          <w:sz w:val="26"/>
        </w:rPr>
        <w:t>Bauanleitung</w:t>
      </w:r>
    </w:p>
    <w:p>
      <w:r>
        <w:t>1. Einen tragenden Zielbegriff bestimmen.</w:t>
      </w:r>
    </w:p>
    <w:p>
      <w:r>
        <w:t>2. Satzanfänge variieren, aber das Ende gleich halten.</w:t>
      </w:r>
    </w:p>
    <w:p>
      <w:r>
        <w:t>3. 3-4 Glieder bevorzugen.</w:t>
      </w:r>
    </w:p>
    <w:p>
      <w:r>
        <w:t>4. Das Endwort akustisch tragen lassen.</w:t>
      </w:r>
    </w:p>
    <w:p>
      <w:pPr>
        <w:spacing w:before="160" w:after="80"/>
      </w:pPr>
      <w:r>
        <w:rPr>
          <w:b/>
          <w:color w:val="5A2E73"/>
          <w:sz w:val="26"/>
        </w:rPr>
        <w:t>Warnung / häufige Verwechslungen</w:t>
      </w:r>
    </w:p>
    <w:p>
      <w:r>
        <w:t>Anaphora</w:t>
      </w:r>
    </w:p>
    <w:p>
      <w:r>
        <w:t>Homoeoteleuton</w:t>
      </w:r>
    </w:p>
    <w:p>
      <w:r>
        <w:t>bloße Wiederholung ohne Gliederstruktur</w:t>
      </w:r>
    </w:p>
    <w:p>
      <w:r>
        <w:t>Wenn das Schlusswort zu schwach ist.</w:t>
      </w:r>
    </w:p>
    <w:p>
      <w:r>
        <w:t>Wenn die Glieder zu lang werden und den Zielklang zudecken.</w:t>
      </w:r>
    </w:p>
    <w:p>
      <w:pPr>
        <w:spacing w:before="160" w:after="80"/>
      </w:pPr>
      <w:r>
        <w:rPr>
          <w:b/>
          <w:color w:val="5A2E73"/>
          <w:sz w:val="26"/>
        </w:rPr>
        <w:t>Merksätze</w:t>
      </w:r>
    </w:p>
    <w:p>
      <w:r>
        <w:t>Die Epiphora denkt vom Ende her.</w:t>
      </w:r>
    </w:p>
    <w:p>
      <w:r>
        <w:t>Was am Ende wiederkehrt, bleibt im Ohr.</w:t>
      </w:r>
    </w:p>
    <w:p>
      <w:pPr>
        <w:spacing w:before="160" w:after="80"/>
      </w:pPr>
      <w:r>
        <w:rPr>
          <w:b/>
          <w:color w:val="5A2E73"/>
          <w:sz w:val="26"/>
        </w:rPr>
        <w:t>Editorische Notiz</w:t>
      </w:r>
    </w:p>
    <w:p>
      <w:r>
        <w:t>OCR-Basis mit guter Textqualität; klassische Definition und Beispiele vorsichtig bereinigt.</w:t>
      </w:r>
    </w:p>
    <w:sectPr w:rsidR="00FC693F" w:rsidRPr="0006063C" w:rsidSect="00034616"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