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A2E73"/>
          <w:sz w:val="19"/>
        </w:rPr>
        <w:t>MEISTERREDNER | Stilmittel-Einleger | Tiefgang</w:t>
      </w:r>
    </w:p>
    <w:p>
      <w:pPr>
        <w:jc w:val="center"/>
      </w:pPr>
      <w:r>
        <w:rPr>
          <w:b/>
          <w:sz w:val="44"/>
        </w:rPr>
        <w:t>Reflexio</w:t>
      </w:r>
    </w:p>
    <w:p>
      <w:pPr>
        <w:jc w:val="center"/>
      </w:pPr>
      <w:r>
        <w:rPr>
          <w:i/>
          <w:color w:val="5A5A5A"/>
          <w:sz w:val="20"/>
        </w:rPr>
        <w:t>Lausberg-nahe Arbeitsfassung | JSON + Einleger-Bausteine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1"/>
        <w:gridCol w:w="1871"/>
        <w:gridCol w:w="2381"/>
        <w:gridCol w:w="3061"/>
      </w:tblGrid>
      <w:tr>
        <w:tc>
          <w:tcPr>
            <w:tcW w:type="dxa" w:w="2466"/>
            <w:shd w:fill="EADFF1"/>
          </w:tcPr>
          <w:p>
            <w:pPr>
              <w:jc w:val="center"/>
            </w:pPr>
            <w:r>
              <w:rPr>
                <w:b/>
              </w:rPr>
              <w:t>Griechisch</w:t>
            </w:r>
          </w:p>
        </w:tc>
        <w:tc>
          <w:tcPr>
            <w:tcW w:type="dxa" w:w="2466"/>
            <w:shd w:fill="EADFF1"/>
          </w:tcPr>
          <w:p>
            <w:pPr>
              <w:jc w:val="center"/>
            </w:pPr>
            <w:r>
              <w:rPr>
                <w:b/>
              </w:rPr>
              <w:t>Latein</w:t>
            </w:r>
          </w:p>
        </w:tc>
        <w:tc>
          <w:tcPr>
            <w:tcW w:type="dxa" w:w="2466"/>
            <w:shd w:fill="EADFF1"/>
          </w:tcPr>
          <w:p>
            <w:pPr>
              <w:jc w:val="center"/>
            </w:pPr>
            <w:r>
              <w:rPr>
                <w:b/>
              </w:rPr>
              <w:t>Formel</w:t>
            </w:r>
          </w:p>
        </w:tc>
        <w:tc>
          <w:tcPr>
            <w:tcW w:type="dxa" w:w="2466"/>
            <w:shd w:fill="EADFF1"/>
          </w:tcPr>
          <w:p>
            <w:pPr>
              <w:jc w:val="center"/>
            </w:pPr>
            <w:r>
              <w:rPr>
                <w:b/>
              </w:rPr>
              <w:t>Kernwirkung</w:t>
            </w:r>
          </w:p>
        </w:tc>
      </w:tr>
      <w:tr>
        <w:tc>
          <w:tcPr>
            <w:tcW w:type="dxa" w:w="2466"/>
          </w:tcPr>
          <w:p>
            <w:pPr>
              <w:jc w:val="center"/>
            </w:pPr>
            <w:r>
              <w:t>ἀντανάκλασις</w:t>
            </w:r>
          </w:p>
        </w:tc>
        <w:tc>
          <w:tcPr>
            <w:tcW w:type="dxa" w:w="2466"/>
          </w:tcPr>
          <w:p>
            <w:pPr>
              <w:jc w:val="center"/>
            </w:pPr>
            <w:r>
              <w:t>reflexio</w:t>
            </w:r>
          </w:p>
        </w:tc>
        <w:tc>
          <w:tcPr>
            <w:tcW w:type="dxa" w:w="2466"/>
          </w:tcPr>
          <w:p>
            <w:pPr>
              <w:jc w:val="center"/>
            </w:pPr>
            <w:r>
              <w:t>Sprecher A: Wort X -&gt; Sprecher B: Wort X in verschobenem Sinn</w:t>
            </w:r>
          </w:p>
        </w:tc>
        <w:tc>
          <w:tcPr>
            <w:tcW w:type="dxa" w:w="2466"/>
          </w:tcPr>
          <w:p>
            <w:pPr>
              <w:jc w:val="center"/>
            </w:pPr>
            <w:r>
              <w:t>Witz · Schärfung · Gegenschlag · Bedeutungsumschlag</w:t>
            </w:r>
          </w:p>
        </w:tc>
      </w:tr>
    </w:tbl>
    <w:p/>
    <w:p>
      <w:pPr>
        <w:spacing w:before="160" w:after="80"/>
      </w:pPr>
      <w:r>
        <w:rPr>
          <w:b/>
          <w:color w:val="5A2E73"/>
          <w:sz w:val="26"/>
        </w:rPr>
        <w:t>Kurzdefinition</w:t>
      </w:r>
    </w:p>
    <w:p>
      <w:r>
        <w:t>Die Reflexio ist nach Lausberg eine Distinctio in Dialogform: Ein vom ersten Sprecher verwendetes Wort wird vom zweiten Sprecher aufgenommen, aber in verändertem, parteiisch-emphatischem Sinn zurückgespiegelt.</w:t>
      </w:r>
    </w:p>
    <w:p>
      <w:pPr>
        <w:spacing w:after="80"/>
      </w:pPr>
      <w:r>
        <w:rPr>
          <w:b/>
        </w:rPr>
        <w:t xml:space="preserve">Einfach: </w:t>
      </w:r>
      <w:r>
        <w:t>Ein Wort wird im Dialog aufgegriffen und mit anderer Bedeutung zurückgegeben.</w:t>
      </w:r>
    </w:p>
    <w:p>
      <w:pPr>
        <w:spacing w:before="160" w:after="80"/>
      </w:pPr>
      <w:r>
        <w:rPr>
          <w:b/>
          <w:color w:val="5A2E73"/>
          <w:sz w:val="26"/>
        </w:rPr>
        <w:t>Lausberg-nahe Präzisierung</w:t>
      </w:r>
    </w:p>
    <w:p>
      <w:r>
        <w:t>Reflexio schärft Witz, Gegenschlag und intellektuelle Wendung. Sie lebt vom überraschenden Bedeutungsumschlag desselben Ausdrucks im Antwortzug.</w:t>
      </w:r>
    </w:p>
    <w:p>
      <w:pPr>
        <w:spacing w:after="80"/>
      </w:pPr>
      <w:r>
        <w:rPr>
          <w:b/>
        </w:rPr>
        <w:t xml:space="preserve">Lausberg-Bezug: </w:t>
      </w:r>
      <w:r>
        <w:t>Lausberg §§ 663-664.</w:t>
      </w:r>
    </w:p>
    <w:p>
      <w:pPr>
        <w:spacing w:before="160" w:after="80"/>
      </w:pPr>
      <w:r>
        <w:rPr>
          <w:b/>
          <w:color w:val="5A2E73"/>
          <w:sz w:val="26"/>
        </w:rPr>
        <w:t>Abgrenzung und Grenzfälle</w:t>
      </w:r>
    </w:p>
    <w:p>
      <w:r>
        <w:t>Distinctio: Bedeutungsunterscheidung desselben Wortes ohne notwendige Dialogform.</w:t>
      </w:r>
    </w:p>
    <w:p>
      <w:r>
        <w:t>Paronomasie: Spiel mit ähnlichen, nicht identischen Wortkörpern.</w:t>
      </w:r>
    </w:p>
    <w:p>
      <w:r>
        <w:t>Traductio: Wiedergebrauch desselben Wortes in fortlaufender Rede, nicht zwingend dialogisch.</w:t>
      </w:r>
    </w:p>
    <w:p>
      <w:pPr>
        <w:spacing w:before="160" w:after="80"/>
      </w:pPr>
      <w:r>
        <w:rPr>
          <w:b/>
          <w:color w:val="5A2E73"/>
          <w:sz w:val="26"/>
        </w:rPr>
        <w:t>Relevante Lausberg-Stellen mit Übersetzung</w:t>
      </w:r>
    </w:p>
    <w:p>
      <w:pPr>
        <w:spacing w:after="40"/>
      </w:pPr>
      <w:r>
        <w:rPr>
          <w:b/>
          <w:color w:val="5A2E73"/>
        </w:rPr>
        <w:t>Quintilian 9,3,68 im Proculeius-Beispiel</w:t>
      </w:r>
    </w:p>
    <w:p>
      <w:r>
        <w:t>immo, inquit, rogo exspectes.</w:t>
      </w:r>
    </w:p>
    <w:p>
      <w:pPr>
        <w:spacing w:after="80"/>
      </w:pPr>
      <w:r>
        <w:rPr>
          <w:b/>
        </w:rPr>
        <w:t xml:space="preserve">Deutsch: </w:t>
      </w:r>
      <w:r>
        <w:t>Im Gegenteil, sagte er, ich bitte dich geradezu, zu warten.</w:t>
      </w:r>
    </w:p>
    <w:p>
      <w:pPr>
        <w:spacing w:after="80"/>
      </w:pPr>
      <w:r>
        <w:rPr>
          <w:b/>
        </w:rPr>
        <w:t xml:space="preserve">Funktionsnotiz: </w:t>
      </w:r>
      <w:r>
        <w:t>Das Wort exspectare kippt vom harmlosen zum bedrohlichen Sinn.</w:t>
      </w:r>
    </w:p>
    <w:p/>
    <w:p>
      <w:pPr>
        <w:spacing w:after="40"/>
      </w:pPr>
      <w:r>
        <w:rPr>
          <w:b/>
          <w:color w:val="5A2E73"/>
        </w:rPr>
        <w:t>Rutilius Lupus 1,5</w:t>
      </w:r>
    </w:p>
    <w:p>
      <w:r>
        <w:t>hoc schema fieri solet, cum id quod ab altero dictum est, non in eam mentem quae intellegitur, sed in aliam aut contrariam accipitur.</w:t>
      </w:r>
    </w:p>
    <w:p>
      <w:pPr>
        <w:spacing w:after="80"/>
      </w:pPr>
      <w:r>
        <w:rPr>
          <w:b/>
        </w:rPr>
        <w:t xml:space="preserve">Deutsch: </w:t>
      </w:r>
      <w:r>
        <w:t>Diese Figur entsteht, wenn das, was der eine gesagt hat, nicht in dem Sinn aufgenommen wird, der gemeint war, sondern in einem anderen oder gegenteiligen Sinn.</w:t>
      </w:r>
    </w:p>
    <w:p>
      <w:pPr>
        <w:spacing w:after="80"/>
      </w:pPr>
      <w:r>
        <w:rPr>
          <w:b/>
        </w:rPr>
        <w:t xml:space="preserve">Funktionsnotiz: </w:t>
      </w:r>
      <w:r>
        <w:t>Klassische Funktionsbeschreibung.</w:t>
      </w:r>
    </w:p>
    <w:p/>
    <w:p>
      <w:pPr>
        <w:spacing w:before="160" w:after="80"/>
      </w:pPr>
      <w:r>
        <w:rPr>
          <w:b/>
          <w:color w:val="5A2E73"/>
          <w:sz w:val="26"/>
        </w:rPr>
        <w:t>Fundus Benjamin | predigtnahe Beispiele</w:t>
      </w:r>
    </w:p>
    <w:p>
      <w:pPr>
        <w:spacing w:after="40"/>
      </w:pPr>
      <w:r>
        <w:t>Du sagst: Ich suche Frieden. Christus fragt zurück: Frieden - oder nur Ruhe ohne Umkehr?</w:t>
      </w:r>
    </w:p>
    <w:p>
      <w:pPr>
        <w:spacing w:after="80"/>
      </w:pPr>
      <w:r>
        <w:rPr>
          <w:b/>
        </w:rPr>
        <w:t xml:space="preserve">Zweck: </w:t>
      </w:r>
      <w:r>
        <w:t>Gewissensschärfung | Zielgruppe: Gemeinde</w:t>
      </w:r>
    </w:p>
    <w:p>
      <w:pPr>
        <w:spacing w:after="80"/>
      </w:pPr>
      <w:r>
        <w:rPr>
          <w:b/>
        </w:rPr>
        <w:t xml:space="preserve">Notiz: </w:t>
      </w:r>
      <w:r>
        <w:t>Das Schlüsselwort wird im zweiten Zug neu belichtet.</w:t>
      </w:r>
    </w:p>
    <w:p>
      <w:pPr>
        <w:spacing w:after="40"/>
      </w:pPr>
      <w:r>
        <w:t>Einer sagt: Ich will frei sein. Die Predigt antwortet: Frei - wovon, und frei wozu?</w:t>
      </w:r>
    </w:p>
    <w:p>
      <w:pPr>
        <w:spacing w:after="80"/>
      </w:pPr>
      <w:r>
        <w:rPr>
          <w:b/>
        </w:rPr>
        <w:t xml:space="preserve">Zweck: </w:t>
      </w:r>
      <w:r>
        <w:t>Predigtlicher Dialog | Zielgruppe: Jugend / Erwachsene</w:t>
      </w:r>
    </w:p>
    <w:p>
      <w:pPr>
        <w:spacing w:after="80"/>
      </w:pPr>
      <w:r>
        <w:rPr>
          <w:b/>
        </w:rPr>
        <w:t xml:space="preserve">Notiz: </w:t>
      </w:r>
      <w:r>
        <w:t>Reflexio-nahe Umprägung des Leitworts.</w:t>
      </w:r>
    </w:p>
    <w:p>
      <w:pPr>
        <w:spacing w:before="160" w:after="80"/>
      </w:pPr>
      <w:r>
        <w:rPr>
          <w:b/>
          <w:color w:val="5A2E73"/>
          <w:sz w:val="26"/>
        </w:rPr>
        <w:t>Neuschöpfungen | moderne Beispiele</w:t>
      </w:r>
    </w:p>
    <w:p>
      <w:pPr>
        <w:spacing w:after="40"/>
      </w:pPr>
      <w:r>
        <w:t>A: Ich brauche nur Freiheit. - B: Freiheit? Du meinst gerade deine Lizenz zum Davonlaufen.</w:t>
      </w:r>
    </w:p>
    <w:p>
      <w:pPr>
        <w:spacing w:after="80"/>
      </w:pPr>
      <w:r>
        <w:rPr>
          <w:b/>
        </w:rPr>
        <w:t xml:space="preserve">Feld: </w:t>
      </w:r>
      <w:r>
        <w:t>Dialog / Predigt</w:t>
      </w:r>
    </w:p>
    <w:p>
      <w:pPr>
        <w:spacing w:after="80"/>
      </w:pPr>
      <w:r>
        <w:rPr>
          <w:b/>
        </w:rPr>
        <w:t xml:space="preserve">Notiz: </w:t>
      </w:r>
      <w:r>
        <w:t>Antwort nimmt das Wort gegensinnig auf.</w:t>
      </w:r>
    </w:p>
    <w:p>
      <w:pPr>
        <w:spacing w:after="40"/>
      </w:pPr>
      <w:r>
        <w:t>A: Ich warte auf den richtigen Zeitpunkt. - B: Auf den Zeitpunkt? Oder auf den Vorwand, nichts zu ändern?</w:t>
      </w:r>
    </w:p>
    <w:p>
      <w:pPr>
        <w:spacing w:after="80"/>
      </w:pPr>
      <w:r>
        <w:rPr>
          <w:b/>
        </w:rPr>
        <w:t xml:space="preserve">Feld: </w:t>
      </w:r>
      <w:r>
        <w:t>Seelsorge</w:t>
      </w:r>
    </w:p>
    <w:p>
      <w:pPr>
        <w:spacing w:after="80"/>
      </w:pPr>
      <w:r>
        <w:rPr>
          <w:b/>
        </w:rPr>
        <w:t xml:space="preserve">Notiz: </w:t>
      </w:r>
      <w:r>
        <w:t>Dialogischer Bedeutungsumschlag.</w:t>
      </w:r>
    </w:p>
    <w:p>
      <w:pPr>
        <w:spacing w:before="160" w:after="80"/>
      </w:pPr>
      <w:r>
        <w:rPr>
          <w:b/>
          <w:color w:val="5A2E73"/>
          <w:sz w:val="26"/>
        </w:rPr>
        <w:t>Bauanleitung</w:t>
      </w:r>
    </w:p>
    <w:p>
      <w:r>
        <w:t>1. Ein mehrdeutiges oder stark belastbares Wort wählen.</w:t>
      </w:r>
    </w:p>
    <w:p>
      <w:r>
        <w:t>2. Ersten und zweiten Sprechzug klar trennen.</w:t>
      </w:r>
    </w:p>
    <w:p>
      <w:r>
        <w:t>3. Der zweite Zug muss den Sinn sichtbar verschieben.</w:t>
      </w:r>
    </w:p>
    <w:p>
      <w:r>
        <w:t>4. Am besten knapp und schlagend formulieren.</w:t>
      </w:r>
    </w:p>
    <w:p>
      <w:pPr>
        <w:spacing w:before="160" w:after="80"/>
      </w:pPr>
      <w:r>
        <w:rPr>
          <w:b/>
          <w:color w:val="5A2E73"/>
          <w:sz w:val="26"/>
        </w:rPr>
        <w:t>Warnung / häufige Verwechslungen</w:t>
      </w:r>
    </w:p>
    <w:p>
      <w:r>
        <w:t>Distinctio</w:t>
      </w:r>
    </w:p>
    <w:p>
      <w:r>
        <w:t>Paronomasie</w:t>
      </w:r>
    </w:p>
    <w:p>
      <w:r>
        <w:t>Traductio</w:t>
      </w:r>
    </w:p>
    <w:p>
      <w:r>
        <w:t>Wenn der Bedeutungswechsel zu unklar bleibt.</w:t>
      </w:r>
    </w:p>
    <w:p>
      <w:r>
        <w:t>Wenn bloß dasselbe Wort mechanisch wiederholt wird.</w:t>
      </w:r>
    </w:p>
    <w:p>
      <w:pPr>
        <w:spacing w:before="160" w:after="80"/>
      </w:pPr>
      <w:r>
        <w:rPr>
          <w:b/>
          <w:color w:val="5A2E73"/>
          <w:sz w:val="26"/>
        </w:rPr>
        <w:t>Merksätze</w:t>
      </w:r>
    </w:p>
    <w:p>
      <w:r>
        <w:t>Reflexio lebt vom Zurückspiegeln.</w:t>
      </w:r>
    </w:p>
    <w:p>
      <w:r>
        <w:t>Dasselbe Wort, anderer Schlag.</w:t>
      </w:r>
    </w:p>
    <w:p>
      <w:pPr>
        <w:spacing w:before="160" w:after="80"/>
      </w:pPr>
      <w:r>
        <w:rPr>
          <w:b/>
          <w:color w:val="5A2E73"/>
          <w:sz w:val="26"/>
        </w:rPr>
        <w:t>Editorische Notiz</w:t>
      </w:r>
    </w:p>
    <w:p>
      <w:r>
        <w:t>Aus OCR erschlossene Lausberg-Stelle; dialogische Struktur besonders wichtig.</w:t>
      </w:r>
    </w:p>
    <w:sectPr w:rsidR="00FC693F" w:rsidRPr="0006063C" w:rsidSect="00034616"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