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A2E73"/>
          <w:sz w:val="19"/>
        </w:rPr>
        <w:t>MEISTERREDNER | Stilmittel-Einleger | Tiefgang</w:t>
      </w:r>
    </w:p>
    <w:p>
      <w:pPr>
        <w:jc w:val="center"/>
      </w:pPr>
      <w:r>
        <w:rPr>
          <w:b/>
          <w:sz w:val="44"/>
        </w:rPr>
        <w:t>Reticentia</w:t>
      </w:r>
    </w:p>
    <w:p>
      <w:pPr>
        <w:jc w:val="center"/>
      </w:pPr>
      <w:r>
        <w:rPr>
          <w:i/>
          <w:color w:val="5A5A5A"/>
          <w:sz w:val="20"/>
        </w:rPr>
        <w:t>Lausberg-nahe Arbeitsfassung | JSON + Einleger-Bausteine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2381"/>
        <w:gridCol w:w="3061"/>
      </w:tblGrid>
      <w:tr>
        <w:tc>
          <w:tcPr>
            <w:tcW w:type="dxa" w:w="2466"/>
            <w:shd w:fill="EADFF1"/>
          </w:tcPr>
          <w:p>
            <w:pPr>
              <w:jc w:val="center"/>
            </w:pPr>
            <w:r>
              <w:rPr>
                <w:b/>
              </w:rPr>
              <w:t>Griechisch</w:t>
            </w:r>
          </w:p>
        </w:tc>
        <w:tc>
          <w:tcPr>
            <w:tcW w:type="dxa" w:w="2466"/>
            <w:shd w:fill="EADFF1"/>
          </w:tcPr>
          <w:p>
            <w:pPr>
              <w:jc w:val="center"/>
            </w:pPr>
            <w:r>
              <w:rPr>
                <w:b/>
              </w:rPr>
              <w:t>Latein</w:t>
            </w:r>
          </w:p>
        </w:tc>
        <w:tc>
          <w:tcPr>
            <w:tcW w:type="dxa" w:w="2466"/>
            <w:shd w:fill="EADFF1"/>
          </w:tcPr>
          <w:p>
            <w:pPr>
              <w:jc w:val="center"/>
            </w:pPr>
            <w:r>
              <w:rPr>
                <w:b/>
              </w:rPr>
              <w:t>Formel</w:t>
            </w:r>
          </w:p>
        </w:tc>
        <w:tc>
          <w:tcPr>
            <w:tcW w:type="dxa" w:w="2466"/>
            <w:shd w:fill="EADFF1"/>
          </w:tcPr>
          <w:p>
            <w:pPr>
              <w:jc w:val="center"/>
            </w:pPr>
            <w:r>
              <w:rPr>
                <w:b/>
              </w:rPr>
              <w:t>Kernwirkung</w:t>
            </w:r>
          </w:p>
        </w:tc>
      </w:tr>
      <w:tr>
        <w:tc>
          <w:tcPr>
            <w:tcW w:type="dxa" w:w="2466"/>
          </w:tcPr>
          <w:p>
            <w:pPr>
              <w:jc w:val="center"/>
            </w:pPr>
            <w:r>
              <w:t>ἀποσιώπησις</w:t>
            </w:r>
          </w:p>
        </w:tc>
        <w:tc>
          <w:tcPr>
            <w:tcW w:type="dxa" w:w="2466"/>
          </w:tcPr>
          <w:p>
            <w:pPr>
              <w:jc w:val="center"/>
            </w:pPr>
            <w:r>
              <w:t>reticentia / aposiopesis</w:t>
            </w:r>
          </w:p>
        </w:tc>
        <w:tc>
          <w:tcPr>
            <w:tcW w:type="dxa" w:w="2466"/>
          </w:tcPr>
          <w:p>
            <w:pPr>
              <w:jc w:val="center"/>
            </w:pPr>
            <w:r>
              <w:t>begonnener Satz -&gt; Abbruch / Gedankenstrich / Schweigen</w:t>
            </w:r>
          </w:p>
        </w:tc>
        <w:tc>
          <w:tcPr>
            <w:tcW w:type="dxa" w:w="2466"/>
          </w:tcPr>
          <w:p>
            <w:pPr>
              <w:jc w:val="center"/>
            </w:pPr>
            <w:r>
              <w:t>Affekt · Drohung · Scheu · Emphase</w:t>
            </w:r>
          </w:p>
        </w:tc>
      </w:tr>
    </w:tbl>
    <w:p/>
    <w:p>
      <w:pPr>
        <w:spacing w:before="160" w:after="80"/>
      </w:pPr>
      <w:r>
        <w:rPr>
          <w:b/>
          <w:color w:val="5A2E73"/>
          <w:sz w:val="26"/>
        </w:rPr>
        <w:t>Kurzdefinition</w:t>
      </w:r>
    </w:p>
    <w:p>
      <w:r>
        <w:t>Die Reticentia ist die kenntlich gemachte Auslassung eines begonnenen Gedankens durch Satzabbruch. Lausberg versteht sie als Aposiopese: Der Sprecher bricht sichtbar ab, sodass das Ungesagte als Affekt, Scheu oder Berechnung mitgehört wird.</w:t>
      </w:r>
    </w:p>
    <w:p>
      <w:pPr>
        <w:spacing w:after="80"/>
      </w:pPr>
      <w:r>
        <w:rPr>
          <w:b/>
        </w:rPr>
        <w:t xml:space="preserve">Einfach: </w:t>
      </w:r>
      <w:r>
        <w:t>Ein Satz wird absichtlich abgebrochen, damit das Ungesagte wirkt.</w:t>
      </w:r>
    </w:p>
    <w:p>
      <w:pPr>
        <w:spacing w:before="160" w:after="80"/>
      </w:pPr>
      <w:r>
        <w:rPr>
          <w:b/>
          <w:color w:val="5A2E73"/>
          <w:sz w:val="26"/>
        </w:rPr>
        <w:t>Lausberg-nahe Präzisierung</w:t>
      </w:r>
    </w:p>
    <w:p>
      <w:r>
        <w:t>Die Figur steigert Affekt, Scham, Drohung oder Rücksicht. Das Publikum ergänzt die ausgesparte Aussage und erlebt gerade dadurch deren Schärfe.</w:t>
      </w:r>
    </w:p>
    <w:p>
      <w:pPr>
        <w:spacing w:after="80"/>
      </w:pPr>
      <w:r>
        <w:rPr>
          <w:b/>
        </w:rPr>
        <w:t xml:space="preserve">Lausberg-Bezug: </w:t>
      </w:r>
      <w:r>
        <w:t>Lausberg §§ 887-889.</w:t>
      </w:r>
    </w:p>
    <w:p>
      <w:pPr>
        <w:spacing w:before="160" w:after="80"/>
      </w:pPr>
      <w:r>
        <w:rPr>
          <w:b/>
          <w:color w:val="5A2E73"/>
          <w:sz w:val="26"/>
        </w:rPr>
        <w:t>Abgrenzung und Grenzfälle</w:t>
      </w:r>
    </w:p>
    <w:p>
      <w:r>
        <w:t>Ellipsis: grammatische Auslassung ohne dramatisch markierten Abbruch.</w:t>
      </w:r>
    </w:p>
    <w:p>
      <w:r>
        <w:t>Praeteritio: behauptetes Übergehen eines Themas.</w:t>
      </w:r>
    </w:p>
    <w:p>
      <w:r>
        <w:t>Aposiopesis: meist als griechisch-lateinischer Parallelterminus derselben Figur.</w:t>
      </w:r>
    </w:p>
    <w:p>
      <w:pPr>
        <w:spacing w:before="160" w:after="80"/>
      </w:pPr>
      <w:r>
        <w:rPr>
          <w:b/>
          <w:color w:val="5A2E73"/>
          <w:sz w:val="26"/>
        </w:rPr>
        <w:t>Relevante Lausberg-Stellen mit Übersetzung</w:t>
      </w:r>
    </w:p>
    <w:p>
      <w:pPr>
        <w:spacing w:after="40"/>
      </w:pPr>
      <w:r>
        <w:rPr>
          <w:b/>
          <w:color w:val="5A2E73"/>
        </w:rPr>
        <w:t>Vergil, Aeneis 1,135; bei Quintilian 9,2,54</w:t>
      </w:r>
    </w:p>
    <w:p>
      <w:r>
        <w:t>quos ego - sed motos praestat componere fluctus.</w:t>
      </w:r>
    </w:p>
    <w:p>
      <w:pPr>
        <w:spacing w:after="80"/>
      </w:pPr>
      <w:r>
        <w:rPr>
          <w:b/>
        </w:rPr>
        <w:t xml:space="preserve">Deutsch: </w:t>
      </w:r>
      <w:r>
        <w:t>Euch werde ich - doch besser ist es, die aufgewühlten Fluten zu beruhigen.</w:t>
      </w:r>
    </w:p>
    <w:p>
      <w:pPr>
        <w:spacing w:after="80"/>
      </w:pPr>
      <w:r>
        <w:rPr>
          <w:b/>
        </w:rPr>
        <w:t xml:space="preserve">Funktionsnotiz: </w:t>
      </w:r>
      <w:r>
        <w:t>Affekt-Aposiopese: der Zorn bricht ab.</w:t>
      </w:r>
    </w:p>
    <w:p/>
    <w:p>
      <w:pPr>
        <w:spacing w:after="40"/>
      </w:pPr>
      <w:r>
        <w:rPr>
          <w:b/>
          <w:color w:val="5A2E73"/>
        </w:rPr>
        <w:t>Rhetorica ad Herennium 4,30,41</w:t>
      </w:r>
    </w:p>
    <w:p>
      <w:r>
        <w:t>praecisio est, cum dictis quibus reliquum, quod coeptum est dici, relinquitur inchoatum.</w:t>
      </w:r>
    </w:p>
    <w:p>
      <w:pPr>
        <w:spacing w:after="80"/>
      </w:pPr>
      <w:r>
        <w:rPr>
          <w:b/>
        </w:rPr>
        <w:t xml:space="preserve">Deutsch: </w:t>
      </w:r>
      <w:r>
        <w:t>Eine Praecisio liegt vor, wenn nach bereits Gesagtem der Rest dessen, was begonnen wurde, unausgesprochen im Anfangsstadium bleibt.</w:t>
      </w:r>
    </w:p>
    <w:p>
      <w:pPr>
        <w:spacing w:after="80"/>
      </w:pPr>
      <w:r>
        <w:rPr>
          <w:b/>
        </w:rPr>
        <w:t xml:space="preserve">Funktionsnotiz: </w:t>
      </w:r>
      <w:r>
        <w:t>Knappe Definition des abgebrochenen Satzes.</w:t>
      </w:r>
    </w:p>
    <w:p/>
    <w:p>
      <w:pPr>
        <w:spacing w:before="160" w:after="80"/>
      </w:pPr>
      <w:r>
        <w:rPr>
          <w:b/>
          <w:color w:val="5A2E73"/>
          <w:sz w:val="26"/>
        </w:rPr>
        <w:t>Fundus Benjamin | predigtnahe Beispiele</w:t>
      </w:r>
    </w:p>
    <w:p>
      <w:pPr>
        <w:spacing w:after="40"/>
      </w:pPr>
      <w:r>
        <w:t>Und wenn Christus dich nicht hielte - nein, ich will es gar nicht zu Ende sagen.</w:t>
      </w:r>
    </w:p>
    <w:p>
      <w:pPr>
        <w:spacing w:after="80"/>
      </w:pPr>
      <w:r>
        <w:rPr>
          <w:b/>
        </w:rPr>
        <w:t xml:space="preserve">Zweck: </w:t>
      </w:r>
      <w:r>
        <w:t>Ernst und Demut | Zielgruppe: Gemeinde</w:t>
      </w:r>
    </w:p>
    <w:p>
      <w:pPr>
        <w:spacing w:after="80"/>
      </w:pPr>
      <w:r>
        <w:rPr>
          <w:b/>
        </w:rPr>
        <w:t xml:space="preserve">Notiz: </w:t>
      </w:r>
      <w:r>
        <w:t>Abbruch erzeugt theologische Beklemmung.</w:t>
      </w:r>
    </w:p>
    <w:p>
      <w:pPr>
        <w:spacing w:after="40"/>
      </w:pPr>
      <w:r>
        <w:t>Was ohne Gnade aus deinem Leben würde ... aber gerade deshalb predigen wir Christus.</w:t>
      </w:r>
    </w:p>
    <w:p>
      <w:pPr>
        <w:spacing w:after="80"/>
      </w:pPr>
      <w:r>
        <w:rPr>
          <w:b/>
        </w:rPr>
        <w:t xml:space="preserve">Zweck: </w:t>
      </w:r>
      <w:r>
        <w:t>Evangelische Wendung | Zielgruppe: Gottesdienst</w:t>
      </w:r>
    </w:p>
    <w:p>
      <w:pPr>
        <w:spacing w:after="80"/>
      </w:pPr>
      <w:r>
        <w:rPr>
          <w:b/>
        </w:rPr>
        <w:t xml:space="preserve">Notiz: </w:t>
      </w:r>
      <w:r>
        <w:t>Reticentia mit Umbruch ins Evangelium.</w:t>
      </w:r>
    </w:p>
    <w:p>
      <w:pPr>
        <w:spacing w:before="160" w:after="80"/>
      </w:pPr>
      <w:r>
        <w:rPr>
          <w:b/>
          <w:color w:val="5A2E73"/>
          <w:sz w:val="26"/>
        </w:rPr>
        <w:t>Neuschöpfungen | moderne Beispiele</w:t>
      </w:r>
    </w:p>
    <w:p>
      <w:pPr>
        <w:spacing w:after="40"/>
      </w:pPr>
      <w:r>
        <w:t>Wenn du weiter so lebst, dann ...</w:t>
      </w:r>
    </w:p>
    <w:p>
      <w:pPr>
        <w:spacing w:after="80"/>
      </w:pPr>
      <w:r>
        <w:rPr>
          <w:b/>
        </w:rPr>
        <w:t xml:space="preserve">Feld: </w:t>
      </w:r>
      <w:r>
        <w:t>Mahnung / Gespräch</w:t>
      </w:r>
    </w:p>
    <w:p>
      <w:pPr>
        <w:spacing w:after="80"/>
      </w:pPr>
      <w:r>
        <w:rPr>
          <w:b/>
        </w:rPr>
        <w:t xml:space="preserve">Notiz: </w:t>
      </w:r>
      <w:r>
        <w:t>Das Ungesagte trägt die Drohung.</w:t>
      </w:r>
    </w:p>
    <w:p>
      <w:pPr>
        <w:spacing w:after="40"/>
      </w:pPr>
      <w:r>
        <w:t>Ich könnte jetzt viel über die Nacht sagen - aber du weißt es selbst.</w:t>
      </w:r>
    </w:p>
    <w:p>
      <w:pPr>
        <w:spacing w:after="80"/>
      </w:pPr>
      <w:r>
        <w:rPr>
          <w:b/>
        </w:rPr>
        <w:t xml:space="preserve">Feld: </w:t>
      </w:r>
      <w:r>
        <w:t>Predigt / Seelsorge</w:t>
      </w:r>
    </w:p>
    <w:p>
      <w:pPr>
        <w:spacing w:after="80"/>
      </w:pPr>
      <w:r>
        <w:rPr>
          <w:b/>
        </w:rPr>
        <w:t xml:space="preserve">Notiz: </w:t>
      </w:r>
      <w:r>
        <w:t>Schweigen als Mitrede des Hörers.</w:t>
      </w:r>
    </w:p>
    <w:p>
      <w:pPr>
        <w:spacing w:before="160" w:after="80"/>
      </w:pPr>
      <w:r>
        <w:rPr>
          <w:b/>
          <w:color w:val="5A2E73"/>
          <w:sz w:val="26"/>
        </w:rPr>
        <w:t>Bauanleitung</w:t>
      </w:r>
    </w:p>
    <w:p>
      <w:r>
        <w:t>1. Einen Satz mit starker Erwartung ansetzen.</w:t>
      </w:r>
    </w:p>
    <w:p>
      <w:r>
        <w:t>2. Am Punkt höchster Spannung abbrechen.</w:t>
      </w:r>
    </w:p>
    <w:p>
      <w:r>
        <w:t>3. Nur dort einsetzen, wo das Ungesagte wirklich mitgehört wird.</w:t>
      </w:r>
    </w:p>
    <w:p>
      <w:r>
        <w:t>4. Oft mit anschließender Wendung zurück zur Sache verbinden.</w:t>
      </w:r>
    </w:p>
    <w:p>
      <w:pPr>
        <w:spacing w:before="160" w:after="80"/>
      </w:pPr>
      <w:r>
        <w:rPr>
          <w:b/>
          <w:color w:val="5A2E73"/>
          <w:sz w:val="26"/>
        </w:rPr>
        <w:t>Warnung / häufige Verwechslungen</w:t>
      </w:r>
    </w:p>
    <w:p>
      <w:r>
        <w:t>Ellipsis</w:t>
      </w:r>
    </w:p>
    <w:p>
      <w:r>
        <w:t>Praeteritio</w:t>
      </w:r>
    </w:p>
    <w:p>
      <w:r>
        <w:t>Wenn der Abbruch künstlich und melodramatisch wirkt.</w:t>
      </w:r>
    </w:p>
    <w:p>
      <w:r>
        <w:t>Wenn das Publikum das Ungesagte nicht sinnvoll ergänzen kann.</w:t>
      </w:r>
    </w:p>
    <w:p>
      <w:pPr>
        <w:spacing w:before="160" w:after="80"/>
      </w:pPr>
      <w:r>
        <w:rPr>
          <w:b/>
          <w:color w:val="5A2E73"/>
          <w:sz w:val="26"/>
        </w:rPr>
        <w:t>Merksätze</w:t>
      </w:r>
    </w:p>
    <w:p>
      <w:r>
        <w:t>Reticentia sagt gerade durch ihr Schweigen.</w:t>
      </w:r>
    </w:p>
    <w:p>
      <w:r>
        <w:t>Der Abbruch ist nur dann stark, wenn das Ungesagte größer ist als das Gesagte.</w:t>
      </w:r>
    </w:p>
    <w:p>
      <w:pPr>
        <w:spacing w:before="160" w:after="80"/>
      </w:pPr>
      <w:r>
        <w:rPr>
          <w:b/>
          <w:color w:val="5A2E73"/>
          <w:sz w:val="26"/>
        </w:rPr>
        <w:t>Editorische Notiz</w:t>
      </w:r>
    </w:p>
    <w:p>
      <w:r>
        <w:t>Lausberg-Stelle per OCR gut erschlossen; französische und lateinische Beispiele wurden nur sparsam übernommen.</w:t>
      </w:r>
    </w:p>
    <w:sectPr w:rsidR="00FC693F" w:rsidRPr="0006063C" w:rsidSect="00034616">
      <w:pgSz w:w="11906" w:h="16838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