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2E73"/>
          <w:sz w:val="19"/>
        </w:rPr>
        <w:t>MEISTERREDNER | Stilmittel-Einleger | Tiefgang</w:t>
      </w:r>
    </w:p>
    <w:p>
      <w:pPr>
        <w:jc w:val="center"/>
      </w:pPr>
      <w:r>
        <w:rPr>
          <w:b/>
          <w:sz w:val="44"/>
        </w:rPr>
        <w:t>Traductio</w:t>
      </w:r>
    </w:p>
    <w:p>
      <w:pPr>
        <w:jc w:val="center"/>
      </w:pPr>
      <w:r>
        <w:rPr>
          <w:i/>
          <w:color w:val="5A5A5A"/>
          <w:sz w:val="20"/>
        </w:rPr>
        <w:t>Lausberg-nahe Arbeitsfassung | JSON + Einleger-Bausteine</w:t>
      </w:r>
    </w:p>
    <w:tbl>
      <w:tblPr>
        <w:tblStyle w:val="TableGrid"/>
        <w:tblW w:type="auto" w:w="0"/>
        <w:tblLook w:firstColumn="1" w:firstRow="1" w:lastColumn="0" w:lastRow="0" w:noHBand="0" w:noVBand="1" w:val="04A0"/>
      </w:tblPr>
      <w:tblGrid>
        <w:gridCol w:w="1871"/>
        <w:gridCol w:w="1871"/>
        <w:gridCol w:w="2381"/>
        <w:gridCol w:w="3061"/>
      </w:tblGrid>
      <w:tr>
        <w:tc>
          <w:tcPr>
            <w:tcW w:type="dxa" w:w="2466"/>
            <w:shd w:fill="EADFF1"/>
          </w:tcPr>
          <w:p>
            <w:pPr>
              <w:jc w:val="center"/>
            </w:pPr>
            <w:r>
              <w:rPr>
                <w:b/>
              </w:rPr>
              <w:t>Griechisch</w:t>
            </w:r>
          </w:p>
        </w:tc>
        <w:tc>
          <w:tcPr>
            <w:tcW w:type="dxa" w:w="2466"/>
            <w:shd w:fill="EADFF1"/>
          </w:tcPr>
          <w:p>
            <w:pPr>
              <w:jc w:val="center"/>
            </w:pPr>
            <w:r>
              <w:rPr>
                <w:b/>
              </w:rPr>
              <w:t>Latein</w:t>
            </w:r>
          </w:p>
        </w:tc>
        <w:tc>
          <w:tcPr>
            <w:tcW w:type="dxa" w:w="2466"/>
            <w:shd w:fill="EADFF1"/>
          </w:tcPr>
          <w:p>
            <w:pPr>
              <w:jc w:val="center"/>
            </w:pPr>
            <w:r>
              <w:rPr>
                <w:b/>
              </w:rPr>
              <w:t>Formel</w:t>
            </w:r>
          </w:p>
        </w:tc>
        <w:tc>
          <w:tcPr>
            <w:tcW w:type="dxa" w:w="2466"/>
            <w:shd w:fill="EADFF1"/>
          </w:tcPr>
          <w:p>
            <w:pPr>
              <w:jc w:val="center"/>
            </w:pPr>
            <w:r>
              <w:rPr>
                <w:b/>
              </w:rPr>
              <w:t>Kernwirkung</w:t>
            </w:r>
          </w:p>
        </w:tc>
      </w:tr>
      <w:tr>
        <w:tc>
          <w:tcPr>
            <w:tcW w:type="dxa" w:w="2466"/>
          </w:tcPr>
          <w:p>
            <w:pPr>
              <w:jc w:val="center"/>
            </w:pPr>
            <w:r>
              <w:t>traductio</w:t>
            </w:r>
          </w:p>
        </w:tc>
        <w:tc>
          <w:tcPr>
            <w:tcW w:type="dxa" w:w="2466"/>
          </w:tcPr>
          <w:p>
            <w:pPr>
              <w:jc w:val="center"/>
            </w:pPr>
            <w:r>
              <w:t>traductio</w:t>
            </w:r>
          </w:p>
        </w:tc>
        <w:tc>
          <w:tcPr>
            <w:tcW w:type="dxa" w:w="2466"/>
          </w:tcPr>
          <w:p>
            <w:pPr>
              <w:jc w:val="center"/>
            </w:pPr>
            <w:r>
              <w:t>X ... X ... X in neuer syntaktischer oder semantischer Einbindung</w:t>
            </w:r>
          </w:p>
        </w:tc>
        <w:tc>
          <w:tcPr>
            <w:tcW w:type="dxa" w:w="2466"/>
          </w:tcPr>
          <w:p>
            <w:pPr>
              <w:jc w:val="center"/>
            </w:pPr>
            <w:r>
              <w:t>Einprägung · Leitwortbindung · rhythmische Führung · Verdichtung</w:t>
            </w:r>
          </w:p>
        </w:tc>
      </w:tr>
    </w:tbl>
    <w:p/>
    <w:p>
      <w:pPr>
        <w:spacing w:before="160" w:after="80"/>
      </w:pPr>
      <w:r>
        <w:rPr>
          <w:b/>
          <w:color w:val="5A2E73"/>
          <w:sz w:val="26"/>
        </w:rPr>
        <w:t>Kurzdefinition</w:t>
      </w:r>
    </w:p>
    <w:p>
      <w:r>
        <w:t>Die Traductio ist der wiederholte Gebrauch desselben Wortes in fortlaufender Rede, wobei die Stellung oder die semantische Beleuchtung wechselt. Sie gehört in die Nähe der Wortwiederholungsfiguren, lebt aber stärker von der Neuverwendung desselben Ausdrucks in veränderter Umgebung.</w:t>
      </w:r>
    </w:p>
    <w:p>
      <w:pPr>
        <w:spacing w:after="80"/>
      </w:pPr>
      <w:r>
        <w:rPr>
          <w:b/>
        </w:rPr>
        <w:t xml:space="preserve">Einfach: </w:t>
      </w:r>
      <w:r>
        <w:t>Dasselbe Wort kommt mehrfach wieder und trägt in jeder Setzung einen etwas anderen Akzent.</w:t>
      </w:r>
    </w:p>
    <w:p>
      <w:pPr>
        <w:spacing w:before="160" w:after="80"/>
      </w:pPr>
      <w:r>
        <w:rPr>
          <w:b/>
          <w:color w:val="5A2E73"/>
          <w:sz w:val="26"/>
        </w:rPr>
        <w:t>Lausberg-nahe Präzisierung</w:t>
      </w:r>
    </w:p>
    <w:p>
      <w:r>
        <w:t>Traductio hält einen Leitbegriff fest, führt ihn durch verschiedene Satzlagen und macht ihn durch Wiedergebrauch einprägsam und belastbar.</w:t>
      </w:r>
    </w:p>
    <w:p>
      <w:pPr>
        <w:spacing w:after="80"/>
      </w:pPr>
      <w:r>
        <w:rPr>
          <w:b/>
        </w:rPr>
        <w:t xml:space="preserve">Lausberg-Bezug: </w:t>
      </w:r>
      <w:r>
        <w:t>Lausberg im Umfeld der gelockerten Wortwiederholung; vgl. die Scanseite Traductio/Distinctio.</w:t>
      </w:r>
    </w:p>
    <w:p>
      <w:pPr>
        <w:spacing w:before="160" w:after="80"/>
      </w:pPr>
      <w:r>
        <w:rPr>
          <w:b/>
          <w:color w:val="5A2E73"/>
          <w:sz w:val="26"/>
        </w:rPr>
        <w:t>Abgrenzung und Grenzfälle</w:t>
      </w:r>
    </w:p>
    <w:p>
      <w:r>
        <w:t>Distinctio: derselbe Wortkörper mit ausdrücklich unterschiedlichem Sinn.</w:t>
      </w:r>
    </w:p>
    <w:p>
      <w:r>
        <w:t>Anaphora/Epiphora: feste Stellung am Anfang oder Ende.</w:t>
      </w:r>
    </w:p>
    <w:p>
      <w:r>
        <w:t>Polyptoton: Wiederkehr desselben Stamms in verschiedenen Flexionsformen.</w:t>
      </w:r>
    </w:p>
    <w:p>
      <w:pPr>
        <w:spacing w:before="160" w:after="80"/>
      </w:pPr>
      <w:r>
        <w:rPr>
          <w:b/>
          <w:color w:val="5A2E73"/>
          <w:sz w:val="26"/>
        </w:rPr>
        <w:t>Relevante Lausberg-Stellen mit Übersetzung</w:t>
      </w:r>
    </w:p>
    <w:p>
      <w:pPr>
        <w:spacing w:after="40"/>
      </w:pPr>
      <w:r>
        <w:rPr>
          <w:b/>
          <w:color w:val="5A2E73"/>
        </w:rPr>
        <w:t>Corneille, Héraclius 1,1,64; auf der Traductio/Distinctio-Seite</w:t>
      </w:r>
    </w:p>
    <w:p>
      <w:r>
        <w:t>Chaque jour, chaque instant.</w:t>
      </w:r>
    </w:p>
    <w:p>
      <w:pPr>
        <w:spacing w:after="80"/>
      </w:pPr>
      <w:r>
        <w:rPr>
          <w:b/>
        </w:rPr>
        <w:t xml:space="preserve">Deutsch: </w:t>
      </w:r>
      <w:r>
        <w:t>Jeden Tag, jeden Augenblick.</w:t>
      </w:r>
    </w:p>
    <w:p>
      <w:pPr>
        <w:spacing w:after="80"/>
      </w:pPr>
      <w:r>
        <w:rPr>
          <w:b/>
        </w:rPr>
        <w:t xml:space="preserve">Funktionsnotiz: </w:t>
      </w:r>
      <w:r>
        <w:t>Wiederaufnahme mit verschobener Fügung und Zeitverdichtung.</w:t>
      </w:r>
    </w:p>
    <w:p/>
    <w:p>
      <w:pPr>
        <w:spacing w:after="40"/>
      </w:pPr>
      <w:r>
        <w:rPr>
          <w:b/>
          <w:color w:val="5A2E73"/>
        </w:rPr>
        <w:t>Racine, Andromaque 4,3,1208; auf der Scanseite</w:t>
      </w:r>
    </w:p>
    <w:p>
      <w:r>
        <w:t>Vous ne donnez qu’un jour, qu’une heure, qu’un moment.</w:t>
      </w:r>
    </w:p>
    <w:p>
      <w:pPr>
        <w:spacing w:after="80"/>
      </w:pPr>
      <w:r>
        <w:rPr>
          <w:b/>
        </w:rPr>
        <w:t xml:space="preserve">Deutsch: </w:t>
      </w:r>
      <w:r>
        <w:t>Ihr gebt nur einen Tag, nur eine Stunde, nur einen Augenblick.</w:t>
      </w:r>
    </w:p>
    <w:p>
      <w:pPr>
        <w:spacing w:after="80"/>
      </w:pPr>
      <w:r>
        <w:rPr>
          <w:b/>
        </w:rPr>
        <w:t xml:space="preserve">Funktionsnotiz: </w:t>
      </w:r>
      <w:r>
        <w:t>Wiederholte Fügung mit zunehmender Verdichtung.</w:t>
      </w:r>
    </w:p>
    <w:p/>
    <w:p>
      <w:pPr>
        <w:spacing w:before="160" w:after="80"/>
      </w:pPr>
      <w:r>
        <w:rPr>
          <w:b/>
          <w:color w:val="5A2E73"/>
          <w:sz w:val="26"/>
        </w:rPr>
        <w:t>Fundus Benjamin | predigtnahe Beispiele</w:t>
      </w:r>
    </w:p>
    <w:p>
      <w:pPr>
        <w:spacing w:after="40"/>
      </w:pPr>
      <w:r>
        <w:t>Christus vor dir, Christus mit dir, Christus über dir.</w:t>
      </w:r>
    </w:p>
    <w:p>
      <w:pPr>
        <w:spacing w:after="80"/>
      </w:pPr>
      <w:r>
        <w:rPr>
          <w:b/>
        </w:rPr>
        <w:t xml:space="preserve">Zweck: </w:t>
      </w:r>
      <w:r>
        <w:t>liturgische Einprägung | Zielgruppe: Gemeinde</w:t>
      </w:r>
    </w:p>
    <w:p>
      <w:pPr>
        <w:spacing w:after="80"/>
      </w:pPr>
      <w:r>
        <w:rPr>
          <w:b/>
        </w:rPr>
        <w:t xml:space="preserve">Notiz: </w:t>
      </w:r>
      <w:r>
        <w:t>Leitwort wird mehrfach neu angesetzt.</w:t>
      </w:r>
    </w:p>
    <w:p>
      <w:pPr>
        <w:spacing w:after="40"/>
      </w:pPr>
      <w:r>
        <w:t>Nicht deine Kraft trägt dich, sondern die Kraft Gottes; und diese Kraft bleibt Kraft auch in der Schwachheit.</w:t>
      </w:r>
    </w:p>
    <w:p>
      <w:pPr>
        <w:spacing w:after="80"/>
      </w:pPr>
      <w:r>
        <w:rPr>
          <w:b/>
        </w:rPr>
        <w:t xml:space="preserve">Zweck: </w:t>
      </w:r>
      <w:r>
        <w:t>Trost | Zielgruppe: Seelsorge</w:t>
      </w:r>
    </w:p>
    <w:p>
      <w:pPr>
        <w:spacing w:after="80"/>
      </w:pPr>
      <w:r>
        <w:rPr>
          <w:b/>
        </w:rPr>
        <w:t xml:space="preserve">Notiz: </w:t>
      </w:r>
      <w:r>
        <w:t>Leitwort wird weitergeführt und vertieft.</w:t>
      </w:r>
    </w:p>
    <w:p>
      <w:pPr>
        <w:spacing w:before="160" w:after="80"/>
      </w:pPr>
      <w:r>
        <w:rPr>
          <w:b/>
          <w:color w:val="5A2E73"/>
          <w:sz w:val="26"/>
        </w:rPr>
        <w:t>Neuschöpfungen | moderne Beispiele</w:t>
      </w:r>
    </w:p>
    <w:p>
      <w:pPr>
        <w:spacing w:after="40"/>
      </w:pPr>
      <w:r>
        <w:t>Gnade für den Anfang, Gnade für den Fall, Gnade bis ans Ende.</w:t>
      </w:r>
    </w:p>
    <w:p>
      <w:pPr>
        <w:spacing w:after="80"/>
      </w:pPr>
      <w:r>
        <w:rPr>
          <w:b/>
        </w:rPr>
        <w:t xml:space="preserve">Feld: </w:t>
      </w:r>
      <w:r>
        <w:t>Predigt</w:t>
      </w:r>
    </w:p>
    <w:p>
      <w:pPr>
        <w:spacing w:after="80"/>
      </w:pPr>
      <w:r>
        <w:rPr>
          <w:b/>
        </w:rPr>
        <w:t xml:space="preserve">Notiz: </w:t>
      </w:r>
      <w:r>
        <w:t>Leitwort wird durchgeführt.</w:t>
      </w:r>
    </w:p>
    <w:p>
      <w:pPr>
        <w:spacing w:after="40"/>
      </w:pPr>
      <w:r>
        <w:t>Heute zählt nicht nur Arbeit, heute zählt Ausrichtung, heute zählt Wahrheit.</w:t>
      </w:r>
    </w:p>
    <w:p>
      <w:pPr>
        <w:spacing w:after="80"/>
      </w:pPr>
      <w:r>
        <w:rPr>
          <w:b/>
        </w:rPr>
        <w:t xml:space="preserve">Feld: </w:t>
      </w:r>
      <w:r>
        <w:t>Rede</w:t>
      </w:r>
    </w:p>
    <w:p>
      <w:pPr>
        <w:spacing w:after="80"/>
      </w:pPr>
      <w:r>
        <w:rPr>
          <w:b/>
        </w:rPr>
        <w:t xml:space="preserve">Notiz: </w:t>
      </w:r>
      <w:r>
        <w:t>Dasselbe Leitwort in wechselnder Einbindung.</w:t>
      </w:r>
    </w:p>
    <w:p>
      <w:pPr>
        <w:spacing w:before="160" w:after="80"/>
      </w:pPr>
      <w:r>
        <w:rPr>
          <w:b/>
          <w:color w:val="5A2E73"/>
          <w:sz w:val="26"/>
        </w:rPr>
        <w:t>Bauanleitung</w:t>
      </w:r>
    </w:p>
    <w:p>
      <w:r>
        <w:t>1. Ein tragendes Leitwort wählen.</w:t>
      </w:r>
    </w:p>
    <w:p>
      <w:r>
        <w:t>2. Es mehrfach in neuer syntaktischer Umgebung setzen.</w:t>
      </w:r>
    </w:p>
    <w:p>
      <w:r>
        <w:t>3. Jede neue Setzung soll den Begriff weiterführen, nicht nur verdoppeln.</w:t>
      </w:r>
    </w:p>
    <w:p>
      <w:r>
        <w:t>4. Kurze Ketten bevorzugen.</w:t>
      </w:r>
    </w:p>
    <w:p>
      <w:pPr>
        <w:spacing w:before="160" w:after="80"/>
      </w:pPr>
      <w:r>
        <w:rPr>
          <w:b/>
          <w:color w:val="5A2E73"/>
          <w:sz w:val="26"/>
        </w:rPr>
        <w:t>Warnung / häufige Verwechslungen</w:t>
      </w:r>
    </w:p>
    <w:p>
      <w:r>
        <w:t>Distinctio</w:t>
      </w:r>
    </w:p>
    <w:p>
      <w:r>
        <w:t>Anaphora</w:t>
      </w:r>
    </w:p>
    <w:p>
      <w:r>
        <w:t>Polyptoton</w:t>
      </w:r>
    </w:p>
    <w:p>
      <w:r>
        <w:t>Wenn nur monotone Wiederholung entsteht.</w:t>
      </w:r>
    </w:p>
    <w:p>
      <w:r>
        <w:t>Wenn die Neuverwendung keinen neuen Akzent setzt.</w:t>
      </w:r>
    </w:p>
    <w:p>
      <w:pPr>
        <w:spacing w:before="160" w:after="80"/>
      </w:pPr>
      <w:r>
        <w:rPr>
          <w:b/>
          <w:color w:val="5A2E73"/>
          <w:sz w:val="26"/>
        </w:rPr>
        <w:t>Merksätze</w:t>
      </w:r>
    </w:p>
    <w:p>
      <w:r>
        <w:t>Traductio führt ein Wort durch die Rede.</w:t>
      </w:r>
    </w:p>
    <w:p>
      <w:r>
        <w:t>Dasselbe Wort bleibt - aber nicht an derselben Stelle stehen.</w:t>
      </w:r>
    </w:p>
    <w:p>
      <w:pPr>
        <w:spacing w:before="160" w:after="80"/>
      </w:pPr>
      <w:r>
        <w:rPr>
          <w:b/>
          <w:color w:val="5A2E73"/>
          <w:sz w:val="26"/>
        </w:rPr>
        <w:t>Editorische Notiz</w:t>
      </w:r>
    </w:p>
    <w:p>
      <w:r>
        <w:t>Best-effort-Fassung; die zugrunde liegende Scanseite ist gemischt mit Synonymie/Distinctio-Material. Traductio wurde deshalb vorsichtig profiliert.</w:t>
      </w:r>
    </w:p>
    <w:sectPr w:rsidR="00FC693F" w:rsidRPr="0006063C" w:rsidSect="00034616">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