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928"/>
      </w:tblGrid>
      <w:tr>
        <w:tc>
          <w:tcPr>
            <w:tcW w:type="dxa" w:w="9858"/>
            <w:shd w:fill="F6EFEA"/>
            <w:tcBorders>
              <w:left w:val="single" w:sz="12" w:color="B3876F"/>
              <w:top w:val="single" w:sz="12" w:color="B3876F"/>
              <w:right w:val="single" w:sz="12" w:color="B3876F"/>
              <w:bottom w:val="single" w:sz="12" w:color="B3876F"/>
            </w:tcBorders>
            <w:vAlign w:val="center"/>
          </w:tcPr>
          <w:p>
            <w:pPr>
              <w:spacing w:before="0" w:after="40" w:line="276" w:lineRule="auto"/>
              <w:jc w:val="center"/>
            </w:pPr>
            <w:r>
              <w:rPr>
                <w:rFonts w:ascii="Aptos" w:hAnsi="Aptos"/>
                <w:b/>
                <w:i w:val="0"/>
                <w:color w:val="5F2517"/>
                <w:sz w:val="44"/>
              </w:rPr>
              <w:t>Metonymie</w:t>
            </w:r>
          </w:p>
          <w:p>
            <w:pPr>
              <w:spacing w:before="0" w:after="20" w:line="276" w:lineRule="auto"/>
              <w:jc w:val="center"/>
            </w:pPr>
            <w:r>
              <w:rPr>
                <w:rFonts w:ascii="Aptos" w:hAnsi="Aptos"/>
                <w:b w:val="0"/>
                <w:i/>
                <w:color w:val="7A4131"/>
                <w:sz w:val="21"/>
              </w:rPr>
              <w:t>(lat. metonymia; auch: denominatio)</w:t>
            </w:r>
          </w:p>
          <w:p>
            <w:pPr>
              <w:spacing w:before="0" w:after="0" w:line="276" w:lineRule="auto"/>
              <w:jc w:val="center"/>
            </w:pPr>
            <w:r>
              <w:rPr>
                <w:rFonts w:ascii="Aptos" w:hAnsi="Aptos"/>
                <w:b w:val="0"/>
                <w:i w:val="0"/>
                <w:color w:val="212121"/>
                <w:sz w:val="19"/>
              </w:rPr>
              <w:t>Fundus Benjamin · klassische Nähefiguren · Symbolsprache · Baupläne für Predigten</w:t>
            </w:r>
          </w:p>
        </w:tc>
      </w:tr>
    </w:tbl>
    <w:p>
      <w:pPr>
        <w:spacing w:after="80"/>
      </w:pPr>
    </w:p>
    <w:tbl>
      <w:tblPr>
        <w:tblW w:type="auto" w:w="0"/>
        <w:jc w:val="center"/>
        <w:tblLayout w:type="fixed"/>
        <w:tblLook w:firstColumn="1" w:firstRow="1" w:lastColumn="0" w:lastRow="0" w:noHBand="0" w:noVBand="1" w:val="04A0"/>
      </w:tblPr>
      <w:tblGrid>
        <w:gridCol w:w="8928"/>
      </w:tblGrid>
      <w:tr>
        <w:tc>
          <w:tcPr>
            <w:tcW w:type="dxa" w:w="9858"/>
            <w:shd w:fill="F9F6F3"/>
            <w:tcBorders>
              <w:left w:val="single" w:sz="10" w:color="C8B3A5"/>
              <w:top w:val="single" w:sz="10" w:color="C8B3A5"/>
              <w:right w:val="single" w:sz="10" w:color="C8B3A5"/>
              <w:bottom w:val="single" w:sz="10" w:color="C8B3A5"/>
            </w:tcBorders>
            <w:vAlign w:val="center"/>
          </w:tcPr>
          <w:p>
            <w:pPr>
              <w:spacing w:before="0" w:after="80" w:line="264" w:lineRule="auto"/>
            </w:pPr>
            <w:r>
              <w:rPr>
                <w:rFonts w:ascii="Aptos" w:hAnsi="Aptos"/>
                <w:b/>
                <w:color w:val="5F2517"/>
                <w:sz w:val="20"/>
              </w:rPr>
              <w:t>Arbeitsprofil</w:t>
            </w:r>
          </w:p>
          <w:p>
            <w:pPr>
              <w:spacing w:before="0" w:after="0" w:line="288" w:lineRule="auto"/>
            </w:pPr>
            <w:r>
              <w:rPr>
                <w:rFonts w:ascii="Aptos" w:hAnsi="Aptos"/>
                <w:b w:val="0"/>
                <w:i w:val="0"/>
                <w:color w:val="212121"/>
                <w:sz w:val="21"/>
              </w:rPr>
              <w:t>Die Metonymie ist im Lausberg-Scan als eigener Hauptabschnitt B’) metonymia (§§ 565–571) markiert. Sie wird hier streng als Nähefigur profiliert: nicht Vergleich, sondern reale Beziehung trägt die Übertragung. Nebennamen werden nur beiläufig geführt.</w:t>
            </w:r>
          </w:p>
        </w:tc>
      </w:tr>
    </w:tbl>
    <w:p>
      <w:pPr>
        <w:spacing w:after="120"/>
      </w:pPr>
    </w:p>
    <w:tbl>
      <w:tblPr>
        <w:tblStyle w:val="TableGrid"/>
        <w:tblW w:type="auto" w:w="0"/>
        <w:jc w:val="center"/>
        <w:tblLook w:firstColumn="1" w:firstRow="1" w:lastColumn="0" w:lastRow="0" w:noHBand="0" w:noVBand="1" w:val="04A0"/>
      </w:tblPr>
      <w:tblGrid>
        <w:gridCol w:w="1701"/>
        <w:gridCol w:w="1701"/>
        <w:gridCol w:w="2835"/>
        <w:gridCol w:w="2835"/>
      </w:tblGrid>
      <w:tr>
        <w:tc>
          <w:tcPr>
            <w:tcW w:type="dxa" w:w="2464"/>
            <w:shd w:fill="EEE4DC"/>
            <w:vAlign w:val="center"/>
          </w:tcPr>
          <w:p>
            <w:pPr>
              <w:spacing w:before="0" w:after="0" w:line="276" w:lineRule="auto"/>
              <w:jc w:val="center"/>
            </w:pPr>
            <w:r>
              <w:rPr>
                <w:rFonts w:ascii="Aptos" w:hAnsi="Aptos"/>
                <w:b/>
                <w:i w:val="0"/>
                <w:color w:val="5F2517"/>
                <w:sz w:val="19"/>
              </w:rPr>
              <w:t>Griechisch</w:t>
            </w:r>
          </w:p>
        </w:tc>
        <w:tc>
          <w:tcPr>
            <w:tcW w:type="dxa" w:w="2464"/>
            <w:shd w:fill="EEE4DC"/>
            <w:vAlign w:val="center"/>
          </w:tcPr>
          <w:p>
            <w:pPr>
              <w:spacing w:before="0" w:after="0" w:line="276" w:lineRule="auto"/>
              <w:jc w:val="center"/>
            </w:pPr>
            <w:r>
              <w:rPr>
                <w:rFonts w:ascii="Aptos" w:hAnsi="Aptos"/>
                <w:b/>
                <w:i w:val="0"/>
                <w:color w:val="5F2517"/>
                <w:sz w:val="19"/>
              </w:rPr>
              <w:t>Latein</w:t>
            </w:r>
          </w:p>
        </w:tc>
        <w:tc>
          <w:tcPr>
            <w:tcW w:type="dxa" w:w="2464"/>
            <w:shd w:fill="EEE4DC"/>
            <w:vAlign w:val="center"/>
          </w:tcPr>
          <w:p>
            <w:pPr>
              <w:spacing w:before="0" w:after="0" w:line="276" w:lineRule="auto"/>
              <w:jc w:val="center"/>
            </w:pPr>
            <w:r>
              <w:rPr>
                <w:rFonts w:ascii="Aptos" w:hAnsi="Aptos"/>
                <w:b/>
                <w:i w:val="0"/>
                <w:color w:val="5F2517"/>
                <w:sz w:val="19"/>
              </w:rPr>
              <w:t>Formel</w:t>
            </w:r>
          </w:p>
        </w:tc>
        <w:tc>
          <w:tcPr>
            <w:tcW w:type="dxa" w:w="2464"/>
            <w:shd w:fill="EEE4DC"/>
            <w:vAlign w:val="center"/>
          </w:tcPr>
          <w:p>
            <w:pPr>
              <w:spacing w:before="0" w:after="0" w:line="276" w:lineRule="auto"/>
              <w:jc w:val="center"/>
            </w:pPr>
            <w:r>
              <w:rPr>
                <w:rFonts w:ascii="Aptos" w:hAnsi="Aptos"/>
                <w:b/>
                <w:i w:val="0"/>
                <w:color w:val="5F2517"/>
                <w:sz w:val="19"/>
              </w:rPr>
              <w:t>Kernwirkung</w:t>
            </w:r>
          </w:p>
        </w:tc>
      </w:tr>
      <w:tr>
        <w:tc>
          <w:tcPr>
            <w:tcW w:type="dxa" w:w="2464"/>
            <w:shd w:fill="FFFFFF"/>
            <w:vAlign w:val="center"/>
          </w:tcPr>
          <w:p>
            <w:pPr>
              <w:spacing w:before="0" w:after="0" w:line="276" w:lineRule="auto"/>
              <w:jc w:val="center"/>
            </w:pPr>
            <w:r>
              <w:rPr>
                <w:rFonts w:ascii="Aptos" w:hAnsi="Aptos"/>
                <w:b w:val="0"/>
                <w:i w:val="0"/>
                <w:color w:val="212121"/>
                <w:sz w:val="20"/>
              </w:rPr>
              <w:t>μετωνυμία</w:t>
            </w:r>
          </w:p>
        </w:tc>
        <w:tc>
          <w:tcPr>
            <w:tcW w:type="dxa" w:w="2464"/>
            <w:shd w:fill="FFFFFF"/>
            <w:vAlign w:val="center"/>
          </w:tcPr>
          <w:p>
            <w:pPr>
              <w:spacing w:before="0" w:after="0" w:line="276" w:lineRule="auto"/>
              <w:jc w:val="center"/>
            </w:pPr>
            <w:r>
              <w:rPr>
                <w:rFonts w:ascii="Aptos" w:hAnsi="Aptos"/>
                <w:b w:val="0"/>
                <w:i w:val="0"/>
                <w:color w:val="212121"/>
                <w:sz w:val="20"/>
              </w:rPr>
              <w:t>metonymia</w:t>
            </w:r>
          </w:p>
        </w:tc>
        <w:tc>
          <w:tcPr>
            <w:tcW w:type="dxa" w:w="2464"/>
            <w:shd w:fill="FFFFFF"/>
            <w:vAlign w:val="center"/>
          </w:tcPr>
          <w:p>
            <w:pPr>
              <w:spacing w:before="0" w:after="0" w:line="276" w:lineRule="auto"/>
              <w:jc w:val="center"/>
            </w:pPr>
            <w:r>
              <w:rPr>
                <w:rFonts w:ascii="Aptos" w:hAnsi="Aptos"/>
                <w:b w:val="0"/>
                <w:i w:val="0"/>
                <w:color w:val="212121"/>
                <w:sz w:val="20"/>
              </w:rPr>
              <w:t>A statt B – wegen realer Beziehung</w:t>
            </w:r>
          </w:p>
        </w:tc>
        <w:tc>
          <w:tcPr>
            <w:tcW w:type="dxa" w:w="2464"/>
            <w:shd w:fill="FFFFFF"/>
            <w:vAlign w:val="center"/>
          </w:tcPr>
          <w:p>
            <w:pPr>
              <w:spacing w:before="0" w:after="0" w:line="276" w:lineRule="auto"/>
              <w:jc w:val="center"/>
            </w:pPr>
            <w:r>
              <w:rPr>
                <w:rFonts w:ascii="Aptos" w:hAnsi="Aptos"/>
                <w:b w:val="0"/>
                <w:i w:val="0"/>
                <w:color w:val="212121"/>
                <w:sz w:val="20"/>
              </w:rPr>
              <w:t>Verdichtung · Aufladung · indirekte Benennung · aptum</w:t>
            </w:r>
          </w:p>
        </w:tc>
      </w:tr>
    </w:tbl>
    <w:p>
      <w:pPr>
        <w:spacing w:after="120"/>
      </w:pPr>
    </w:p>
    <w:p>
      <w:pPr>
        <w:pStyle w:val="Heading1"/>
        <w:spacing w:before="200" w:after="80" w:line="252" w:lineRule="auto"/>
      </w:pPr>
      <w:r>
        <w:rPr>
          <w:rFonts w:ascii="Aptos" w:hAnsi="Aptos"/>
          <w:b/>
          <w:color w:val="5F2517"/>
          <w:sz w:val="31"/>
        </w:rPr>
        <w:t>Definition</w:t>
      </w:r>
    </w:p>
    <w:p>
      <w:pPr>
        <w:spacing w:before="0" w:after="100" w:line="283" w:lineRule="auto"/>
      </w:pPr>
      <w:r>
        <w:rPr>
          <w:rFonts w:ascii="Aptos" w:hAnsi="Aptos"/>
          <w:b w:val="0"/>
          <w:i w:val="0"/>
          <w:color w:val="212121"/>
          <w:sz w:val="21"/>
        </w:rPr>
        <w:t>Metonymie ist die Ersetzung eines eigentlichen Ausdrucks durch einen anderen, dessen eigentliche Bedeutung mit dem Gemeinten in realer Beziehung steht. Nicht Ähnlichkeit, sondern sachliche Nähe trägt die Figur.</w:t>
      </w:r>
    </w:p>
    <w:p>
      <w:pPr>
        <w:spacing w:before="0" w:after="80" w:line="283" w:lineRule="auto"/>
      </w:pPr>
      <w:r>
        <w:rPr>
          <w:rFonts w:ascii="Aptos" w:hAnsi="Aptos"/>
          <w:b w:val="0"/>
          <w:i w:val="0"/>
          <w:color w:val="212121"/>
          <w:sz w:val="21"/>
        </w:rPr>
        <w:t>Einfach gesagt: Ein Wort steht für etwas anderes, weil beides real zusammengehört.</w:t>
      </w:r>
    </w:p>
    <w:tbl>
      <w:tblPr>
        <w:tblW w:type="auto" w:w="0"/>
        <w:jc w:val="center"/>
        <w:tblLayout w:type="fixed"/>
        <w:tblLook w:firstColumn="1" w:firstRow="1" w:lastColumn="0" w:lastRow="0" w:noHBand="0" w:noVBand="1" w:val="04A0"/>
      </w:tblPr>
      <w:tblGrid>
        <w:gridCol w:w="8928"/>
      </w:tblGrid>
      <w:tr>
        <w:tc>
          <w:tcPr>
            <w:tcW w:type="dxa" w:w="9858"/>
            <w:shd w:fill="F6EFEA"/>
            <w:tcBorders>
              <w:left w:val="single" w:sz="10" w:color="C8B3A5"/>
              <w:top w:val="single" w:sz="10" w:color="C8B3A5"/>
              <w:right w:val="single" w:sz="10" w:color="C8B3A5"/>
              <w:bottom w:val="single" w:sz="10" w:color="C8B3A5"/>
            </w:tcBorders>
            <w:vAlign w:val="center"/>
          </w:tcPr>
          <w:p>
            <w:pPr>
              <w:spacing w:before="0" w:after="80" w:line="264" w:lineRule="auto"/>
            </w:pPr>
            <w:r>
              <w:rPr>
                <w:rFonts w:ascii="Aptos" w:hAnsi="Aptos"/>
                <w:b/>
                <w:color w:val="5F2517"/>
                <w:sz w:val="20"/>
              </w:rPr>
              <w:t>Merksatz</w:t>
            </w:r>
          </w:p>
          <w:p>
            <w:pPr>
              <w:spacing w:before="0" w:after="0" w:line="288" w:lineRule="auto"/>
            </w:pPr>
            <w:r>
              <w:rPr>
                <w:rFonts w:ascii="Aptos" w:hAnsi="Aptos"/>
                <w:b w:val="0"/>
                <w:i w:val="0"/>
                <w:color w:val="212121"/>
                <w:sz w:val="21"/>
              </w:rPr>
              <w:t>Metonymie lebt von Nähe, nicht von Ähnlichkeit.</w:t>
            </w:r>
          </w:p>
        </w:tc>
      </w:tr>
    </w:tbl>
    <w:p>
      <w:pPr>
        <w:spacing w:after="120"/>
      </w:pPr>
    </w:p>
    <w:p>
      <w:pPr>
        <w:pStyle w:val="Heading1"/>
        <w:spacing w:before="200" w:after="80" w:line="252" w:lineRule="auto"/>
      </w:pPr>
      <w:r>
        <w:rPr>
          <w:rFonts w:ascii="Aptos" w:hAnsi="Aptos"/>
          <w:b/>
          <w:color w:val="5F2517"/>
          <w:sz w:val="31"/>
        </w:rPr>
        <w:t>Lausberg-nahe Erklärung</w:t>
      </w:r>
    </w:p>
    <w:p>
      <w:pPr>
        <w:spacing w:before="0" w:after="100" w:line="283" w:lineRule="auto"/>
      </w:pPr>
      <w:r>
        <w:rPr>
          <w:rFonts w:ascii="Aptos" w:hAnsi="Aptos"/>
          <w:b w:val="0"/>
          <w:i w:val="0"/>
          <w:color w:val="212121"/>
          <w:sz w:val="21"/>
        </w:rPr>
        <w:t>Lausberg referiert die traditionelle Kurzformel „nominis pro nomine positio“, hält sie aber für zu eng. Für ihn genügt nicht die bloße Rede vom Namensaustausch. Entscheidend ist vielmehr, dass der Sprecher den Ausdruck aus einem angrenzenden Sachbereich nimmt, sodass die gemeinte Sache verstanden werden kann, obwohl sie nicht mit ihrem eigentlichen Namen genannt wird.</w:t>
      </w:r>
    </w:p>
    <w:p>
      <w:pPr>
        <w:spacing w:before="0" w:after="100" w:line="283" w:lineRule="auto"/>
      </w:pPr>
      <w:r>
        <w:rPr>
          <w:rFonts w:ascii="Aptos" w:hAnsi="Aptos"/>
          <w:b w:val="0"/>
          <w:i w:val="0"/>
          <w:color w:val="212121"/>
          <w:sz w:val="21"/>
        </w:rPr>
        <w:t>Daraus ergeben sich die hauptsächlichen Beziehungsfelder: Person–Sache, Gefäß–Inhalt, Grund–Folge, Abstraktum–Konkretum und Symbol–Gemeintes.</w:t>
      </w:r>
    </w:p>
    <w:p>
      <w:pPr>
        <w:pStyle w:val="ListBullet"/>
        <w:spacing w:after="40"/>
        <w:ind w:left="340"/>
      </w:pPr>
      <w:r>
        <w:rPr>
          <w:rFonts w:ascii="Aptos" w:hAnsi="Aptos"/>
          <w:b w:val="0"/>
          <w:i w:val="0"/>
          <w:color w:val="212121"/>
          <w:sz w:val="21"/>
        </w:rPr>
        <w:t>Person – Sache: eine Gottheit, ein Amt, eine Rolle oder ein Eigentümername steht für den zugehörigen Bereich.</w:t>
      </w:r>
    </w:p>
    <w:p>
      <w:pPr>
        <w:pStyle w:val="ListBullet"/>
        <w:spacing w:after="40"/>
        <w:ind w:left="340"/>
      </w:pPr>
      <w:r>
        <w:rPr>
          <w:rFonts w:ascii="Aptos" w:hAnsi="Aptos"/>
          <w:b w:val="0"/>
          <w:i w:val="0"/>
          <w:color w:val="212121"/>
          <w:sz w:val="21"/>
        </w:rPr>
        <w:t>Gefäß – Inhalt: das Behältnis steht für das, was darin enthalten ist.</w:t>
      </w:r>
    </w:p>
    <w:p>
      <w:pPr>
        <w:pStyle w:val="ListBullet"/>
        <w:spacing w:after="40"/>
        <w:ind w:left="340"/>
      </w:pPr>
      <w:r>
        <w:rPr>
          <w:rFonts w:ascii="Aptos" w:hAnsi="Aptos"/>
          <w:b w:val="0"/>
          <w:i w:val="0"/>
          <w:color w:val="212121"/>
          <w:sz w:val="21"/>
        </w:rPr>
        <w:t>Grund – Folge: Ursache und Wirkung rücken metonymisch aneinander.</w:t>
      </w:r>
    </w:p>
    <w:p>
      <w:pPr>
        <w:pStyle w:val="ListBullet"/>
        <w:spacing w:after="40"/>
        <w:ind w:left="340"/>
      </w:pPr>
      <w:r>
        <w:rPr>
          <w:rFonts w:ascii="Aptos" w:hAnsi="Aptos"/>
          <w:b w:val="0"/>
          <w:i w:val="0"/>
          <w:color w:val="212121"/>
          <w:sz w:val="21"/>
        </w:rPr>
        <w:t>Abstraktum – Konkretum: die Ebene der Benennung verschiebt sich zwischen Begriff und Träger.</w:t>
      </w:r>
    </w:p>
    <w:p>
      <w:pPr>
        <w:pStyle w:val="ListBullet"/>
        <w:spacing w:after="40"/>
        <w:ind w:left="340"/>
      </w:pPr>
      <w:r>
        <w:rPr>
          <w:rFonts w:ascii="Aptos" w:hAnsi="Aptos"/>
          <w:b w:val="0"/>
          <w:i w:val="0"/>
          <w:color w:val="212121"/>
          <w:sz w:val="21"/>
        </w:rPr>
        <w:t>Symbol – Gemeintes: ein kulturell stark aufgeladenes Zeichen benennt den gemeinten Bereich.</w:t>
      </w:r>
    </w:p>
    <w:p>
      <w:pPr>
        <w:pStyle w:val="Heading1"/>
        <w:spacing w:before="200" w:after="80" w:line="252" w:lineRule="auto"/>
      </w:pPr>
      <w:r>
        <w:rPr>
          <w:rFonts w:ascii="Aptos" w:hAnsi="Aptos"/>
          <w:b/>
          <w:color w:val="5F2517"/>
          <w:sz w:val="31"/>
        </w:rPr>
        <w:t>Abgrenzung</w:t>
      </w:r>
    </w:p>
    <w:p>
      <w:pPr>
        <w:pStyle w:val="Heading2"/>
        <w:spacing w:before="120" w:after="80" w:line="252" w:lineRule="auto"/>
      </w:pPr>
      <w:r>
        <w:rPr>
          <w:rFonts w:ascii="Aptos" w:hAnsi="Aptos"/>
          <w:b/>
          <w:color w:val="7A4131"/>
          <w:sz w:val="25"/>
        </w:rPr>
        <w:t>Gegenüber der Metapher</w:t>
      </w:r>
    </w:p>
    <w:p>
      <w:pPr>
        <w:spacing w:before="0" w:after="100" w:line="283" w:lineRule="auto"/>
      </w:pPr>
      <w:r>
        <w:rPr>
          <w:rFonts w:ascii="Aptos" w:hAnsi="Aptos"/>
          <w:b w:val="0"/>
          <w:i w:val="0"/>
          <w:color w:val="212121"/>
          <w:sz w:val="21"/>
        </w:rPr>
        <w:t>Metapher arbeitet mit Ähnlichkeit. Metonymie arbeitet mit realer Beziehung. „Er ist ein Löwe“ ist daher Metapher; „Berlin zögert“ ist Metonymie.</w:t>
      </w:r>
    </w:p>
    <w:p>
      <w:pPr>
        <w:pStyle w:val="Heading2"/>
        <w:spacing w:before="120" w:after="80" w:line="252" w:lineRule="auto"/>
      </w:pPr>
      <w:r>
        <w:rPr>
          <w:rFonts w:ascii="Aptos" w:hAnsi="Aptos"/>
          <w:b/>
          <w:color w:val="7A4131"/>
          <w:sz w:val="25"/>
        </w:rPr>
        <w:t>Gegenüber der Synekdoche</w:t>
      </w:r>
    </w:p>
    <w:p>
      <w:pPr>
        <w:spacing w:before="0" w:after="100" w:line="283" w:lineRule="auto"/>
      </w:pPr>
      <w:r>
        <w:rPr>
          <w:rFonts w:ascii="Aptos" w:hAnsi="Aptos"/>
          <w:b w:val="0"/>
          <w:i w:val="0"/>
          <w:color w:val="212121"/>
          <w:sz w:val="21"/>
        </w:rPr>
        <w:t>Lausberg trennt beim Übergang zu § 572 ausdrücklich: Die Metonymie beruht auf einer qualitativen Beziehung, die Synekdoche auf einer quantitativen Beziehung. Diese Grenzlinie ist für die Projektlogik besonders wichtig.</w:t>
      </w:r>
    </w:p>
    <w:p>
      <w:pPr>
        <w:pStyle w:val="Heading2"/>
        <w:spacing w:before="120" w:after="80" w:line="252" w:lineRule="auto"/>
      </w:pPr>
      <w:r>
        <w:rPr>
          <w:rFonts w:ascii="Aptos" w:hAnsi="Aptos"/>
          <w:b/>
          <w:color w:val="7A4131"/>
          <w:sz w:val="25"/>
        </w:rPr>
        <w:t>Grenzfälle</w:t>
      </w:r>
    </w:p>
    <w:p>
      <w:pPr>
        <w:spacing w:before="0" w:after="100" w:line="283" w:lineRule="auto"/>
      </w:pPr>
      <w:r>
        <w:rPr>
          <w:rFonts w:ascii="Aptos" w:hAnsi="Aptos"/>
          <w:b w:val="0"/>
          <w:i w:val="0"/>
          <w:color w:val="212121"/>
          <w:sz w:val="21"/>
        </w:rPr>
        <w:t>Bei Personal- und Symbol-Metonymien kann der Übergang zur Metapher oder sogar zur Allegorie fließend werden. Als Nachbarfigur steht die Metalepsis bereit, die jedoch indirekter und weitergeschoben operiert.</w:t>
      </w:r>
    </w:p>
    <w:tbl>
      <w:tblPr>
        <w:tblW w:type="auto" w:w="0"/>
        <w:jc w:val="center"/>
        <w:tblLayout w:type="fixed"/>
        <w:tblLook w:firstColumn="1" w:firstRow="1" w:lastColumn="0" w:lastRow="0" w:noHBand="0" w:noVBand="1" w:val="04A0"/>
      </w:tblPr>
      <w:tblGrid>
        <w:gridCol w:w="8928"/>
      </w:tblGrid>
      <w:tr>
        <w:tc>
          <w:tcPr>
            <w:tcW w:type="dxa" w:w="9858"/>
            <w:shd w:fill="FFF7E8"/>
            <w:tcBorders>
              <w:left w:val="single" w:sz="10" w:color="C8B3A5"/>
              <w:top w:val="single" w:sz="10" w:color="C8B3A5"/>
              <w:right w:val="single" w:sz="10" w:color="C8B3A5"/>
              <w:bottom w:val="single" w:sz="10" w:color="C8B3A5"/>
            </w:tcBorders>
            <w:vAlign w:val="center"/>
          </w:tcPr>
          <w:p>
            <w:pPr>
              <w:spacing w:before="0" w:after="80" w:line="264" w:lineRule="auto"/>
            </w:pPr>
            <w:r>
              <w:rPr>
                <w:rFonts w:ascii="Aptos" w:hAnsi="Aptos"/>
                <w:b/>
                <w:color w:val="5F2517"/>
                <w:sz w:val="20"/>
              </w:rPr>
              <w:t>Projektwarnung</w:t>
            </w:r>
          </w:p>
          <w:p>
            <w:pPr>
              <w:spacing w:before="0" w:after="0" w:line="288" w:lineRule="auto"/>
            </w:pPr>
            <w:r>
              <w:rPr>
                <w:rFonts w:ascii="Aptos" w:hAnsi="Aptos"/>
                <w:b w:val="0"/>
                <w:i w:val="0"/>
                <w:color w:val="212121"/>
                <w:sz w:val="21"/>
              </w:rPr>
              <w:t>Nicht jede starke religiöse Bildformel ist metonymisch. Prüffrage: Trägt hier reale Nähe – oder bloß Bildähnlichkeit?</w:t>
            </w:r>
          </w:p>
        </w:tc>
      </w:tr>
    </w:tbl>
    <w:p>
      <w:pPr>
        <w:spacing w:after="120"/>
      </w:pPr>
    </w:p>
    <w:p>
      <w:pPr>
        <w:pStyle w:val="Heading1"/>
        <w:spacing w:before="200" w:after="80" w:line="252" w:lineRule="auto"/>
      </w:pPr>
      <w:r>
        <w:rPr>
          <w:rFonts w:ascii="Aptos" w:hAnsi="Aptos"/>
          <w:b/>
          <w:color w:val="5F2517"/>
          <w:sz w:val="31"/>
        </w:rPr>
        <w:t>Relevante Lausberg-Stellen mit Übersetzung</w:t>
      </w:r>
    </w:p>
    <w:tbl>
      <w:tblPr>
        <w:tblStyle w:val="TableGrid"/>
        <w:tblW w:type="auto" w:w="0"/>
        <w:jc w:val="center"/>
        <w:tblLook w:firstColumn="1" w:firstRow="1" w:lastColumn="0" w:lastRow="0" w:noHBand="0" w:noVBand="1" w:val="04A0"/>
      </w:tblPr>
      <w:tblGrid>
        <w:gridCol w:w="1304"/>
        <w:gridCol w:w="3458"/>
        <w:gridCol w:w="3628"/>
        <w:gridCol w:w="1247"/>
      </w:tblGrid>
      <w:tr>
        <w:tc>
          <w:tcPr>
            <w:tcW w:type="dxa" w:w="2464"/>
            <w:vAlign w:val="center"/>
            <w:shd w:fill="EEE4DC"/>
            <w:tcBorders>
              <w:left w:val="single" w:sz="10" w:color="C8B3A5"/>
              <w:top w:val="single" w:sz="10" w:color="C8B3A5"/>
              <w:right w:val="single" w:sz="10" w:color="C8B3A5"/>
              <w:bottom w:val="single" w:sz="10" w:color="C8B3A5"/>
            </w:tcBorders>
          </w:tcPr>
          <w:p>
            <w:pPr>
              <w:spacing w:before="0" w:after="0" w:line="240" w:lineRule="auto"/>
              <w:jc w:val="center"/>
            </w:pPr>
            <w:r>
              <w:rPr>
                <w:rFonts w:ascii="Aptos" w:hAnsi="Aptos"/>
                <w:b/>
                <w:i w:val="0"/>
                <w:color w:val="5F2517"/>
                <w:sz w:val="20"/>
              </w:rPr>
              <w:t>Sprache</w:t>
            </w:r>
          </w:p>
        </w:tc>
        <w:tc>
          <w:tcPr>
            <w:tcW w:type="dxa" w:w="2464"/>
            <w:vAlign w:val="center"/>
            <w:shd w:fill="EEE4DC"/>
            <w:tcBorders>
              <w:left w:val="single" w:sz="10" w:color="C8B3A5"/>
              <w:top w:val="single" w:sz="10" w:color="C8B3A5"/>
              <w:right w:val="single" w:sz="10" w:color="C8B3A5"/>
              <w:bottom w:val="single" w:sz="10" w:color="C8B3A5"/>
            </w:tcBorders>
          </w:tcPr>
          <w:p>
            <w:pPr>
              <w:spacing w:before="0" w:after="0" w:line="240" w:lineRule="auto"/>
              <w:jc w:val="center"/>
            </w:pPr>
            <w:r>
              <w:rPr>
                <w:rFonts w:ascii="Aptos" w:hAnsi="Aptos"/>
                <w:b/>
                <w:i w:val="0"/>
                <w:color w:val="5F2517"/>
                <w:sz w:val="20"/>
              </w:rPr>
              <w:t>Original</w:t>
            </w:r>
          </w:p>
        </w:tc>
        <w:tc>
          <w:tcPr>
            <w:tcW w:type="dxa" w:w="2464"/>
            <w:vAlign w:val="center"/>
            <w:shd w:fill="EEE4DC"/>
            <w:tcBorders>
              <w:left w:val="single" w:sz="10" w:color="C8B3A5"/>
              <w:top w:val="single" w:sz="10" w:color="C8B3A5"/>
              <w:right w:val="single" w:sz="10" w:color="C8B3A5"/>
              <w:bottom w:val="single" w:sz="10" w:color="C8B3A5"/>
            </w:tcBorders>
          </w:tcPr>
          <w:p>
            <w:pPr>
              <w:spacing w:before="0" w:after="0" w:line="240" w:lineRule="auto"/>
              <w:jc w:val="center"/>
            </w:pPr>
            <w:r>
              <w:rPr>
                <w:rFonts w:ascii="Aptos" w:hAnsi="Aptos"/>
                <w:b/>
                <w:i w:val="0"/>
                <w:color w:val="5F2517"/>
                <w:sz w:val="20"/>
              </w:rPr>
              <w:t>Übersetzung</w:t>
            </w:r>
          </w:p>
        </w:tc>
        <w:tc>
          <w:tcPr>
            <w:tcW w:type="dxa" w:w="2464"/>
            <w:vAlign w:val="center"/>
            <w:shd w:fill="EEE4DC"/>
            <w:tcBorders>
              <w:left w:val="single" w:sz="10" w:color="C8B3A5"/>
              <w:top w:val="single" w:sz="10" w:color="C8B3A5"/>
              <w:right w:val="single" w:sz="10" w:color="C8B3A5"/>
              <w:bottom w:val="single" w:sz="10" w:color="C8B3A5"/>
            </w:tcBorders>
          </w:tcPr>
          <w:p>
            <w:pPr>
              <w:spacing w:before="0" w:after="0" w:line="240" w:lineRule="auto"/>
              <w:jc w:val="center"/>
            </w:pPr>
            <w:r>
              <w:rPr>
                <w:rFonts w:ascii="Aptos" w:hAnsi="Aptos"/>
                <w:b/>
                <w:i w:val="0"/>
                <w:color w:val="5F2517"/>
                <w:sz w:val="20"/>
              </w:rPr>
              <w:t>Notiz</w:t>
            </w:r>
          </w:p>
        </w:tc>
      </w:tr>
      <w:tr>
        <w:tc>
          <w:tcPr>
            <w:tcW w:type="dxa" w:w="1304"/>
            <w:vAlign w:val="center"/>
            <w:shd w:fill="F9F6F3"/>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Latein</w:t>
            </w:r>
          </w:p>
        </w:tc>
        <w:tc>
          <w:tcPr>
            <w:tcW w:type="dxa" w:w="3458"/>
            <w:vAlign w:val="center"/>
            <w:shd w:fill="F9F6F3"/>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denominatio est quae ab rebus propinquis et finitimis trahit orationem, qua possit intellegi res quae non suo vocabulo sit appellata.</w:t>
            </w:r>
          </w:p>
        </w:tc>
        <w:tc>
          <w:tcPr>
            <w:tcW w:type="dxa" w:w="3628"/>
            <w:vAlign w:val="center"/>
            <w:shd w:fill="F9F6F3"/>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Metonymie ist die Benennungsweise, die die Rede von nahe- und angrenzenden Dingen hernimmt, sodass die Sache verstanden wird, obwohl sie nicht mit ihrem eigentlichen Namen bezeichnet ist.</w:t>
            </w:r>
          </w:p>
        </w:tc>
        <w:tc>
          <w:tcPr>
            <w:tcW w:type="dxa" w:w="1247"/>
            <w:vAlign w:val="center"/>
            <w:shd w:fill="F9F6F3"/>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Grunddefinition</w:t>
            </w:r>
          </w:p>
        </w:tc>
      </w:tr>
      <w:tr>
        <w:tc>
          <w:tcPr>
            <w:tcW w:type="dxa" w:w="1304"/>
            <w:vAlign w:val="center"/>
            <w:shd w:fill="FFFFFF"/>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Latein</w:t>
            </w:r>
          </w:p>
        </w:tc>
        <w:tc>
          <w:tcPr>
            <w:tcW w:type="dxa" w:w="3458"/>
            <w:vAlign w:val="center"/>
            <w:shd w:fill="FFFFFF"/>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metonymia quae est nominis pro nomine positio</w:t>
            </w:r>
          </w:p>
        </w:tc>
        <w:tc>
          <w:tcPr>
            <w:tcW w:type="dxa" w:w="3628"/>
            <w:vAlign w:val="center"/>
            <w:shd w:fill="FFFFFF"/>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Metonymie ist die Setzung eines Namens anstelle eines Namens.</w:t>
            </w:r>
          </w:p>
        </w:tc>
        <w:tc>
          <w:tcPr>
            <w:tcW w:type="dxa" w:w="1247"/>
            <w:vAlign w:val="center"/>
            <w:shd w:fill="FFFFFF"/>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von Lausberg als zu eng markiert</w:t>
            </w:r>
          </w:p>
        </w:tc>
      </w:tr>
      <w:tr>
        <w:tc>
          <w:tcPr>
            <w:tcW w:type="dxa" w:w="1304"/>
            <w:vAlign w:val="center"/>
            <w:shd w:fill="F9F6F3"/>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Latein</w:t>
            </w:r>
          </w:p>
        </w:tc>
        <w:tc>
          <w:tcPr>
            <w:tcW w:type="dxa" w:w="3458"/>
            <w:vAlign w:val="center"/>
            <w:shd w:fill="F9F6F3"/>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Martem pro bello, Cererem pro frugibus, Liberum pro vino, Neptunum pro mari</w:t>
            </w:r>
          </w:p>
        </w:tc>
        <w:tc>
          <w:tcPr>
            <w:tcW w:type="dxa" w:w="3628"/>
            <w:vAlign w:val="center"/>
            <w:shd w:fill="F9F6F3"/>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Mars für den Krieg, Ceres für die Feldfrucht, Liber für den Wein, Neptun für das Meer.</w:t>
            </w:r>
          </w:p>
        </w:tc>
        <w:tc>
          <w:tcPr>
            <w:tcW w:type="dxa" w:w="1247"/>
            <w:vAlign w:val="center"/>
            <w:shd w:fill="F9F6F3"/>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Person–Sache</w:t>
            </w:r>
          </w:p>
        </w:tc>
      </w:tr>
      <w:tr>
        <w:tc>
          <w:tcPr>
            <w:tcW w:type="dxa" w:w="1304"/>
            <w:vAlign w:val="center"/>
            <w:shd w:fill="FFFFFF"/>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Latein</w:t>
            </w:r>
          </w:p>
        </w:tc>
        <w:tc>
          <w:tcPr>
            <w:tcW w:type="dxa" w:w="3458"/>
            <w:vAlign w:val="center"/>
            <w:shd w:fill="FFFFFF"/>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iam proximus ardet Ucalegon</w:t>
            </w:r>
          </w:p>
        </w:tc>
        <w:tc>
          <w:tcPr>
            <w:tcW w:type="dxa" w:w="3628"/>
            <w:vAlign w:val="center"/>
            <w:shd w:fill="FFFFFF"/>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Schon brennt ganz in der Nähe Ucalegon.</w:t>
            </w:r>
          </w:p>
        </w:tc>
        <w:tc>
          <w:tcPr>
            <w:tcW w:type="dxa" w:w="1247"/>
            <w:vAlign w:val="center"/>
            <w:shd w:fill="FFFFFF"/>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Eigentümer / Bewohner statt Haus</w:t>
            </w:r>
          </w:p>
        </w:tc>
      </w:tr>
      <w:tr>
        <w:tc>
          <w:tcPr>
            <w:tcW w:type="dxa" w:w="1304"/>
            <w:vAlign w:val="center"/>
            <w:shd w:fill="F9F6F3"/>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Latein</w:t>
            </w:r>
          </w:p>
        </w:tc>
        <w:tc>
          <w:tcPr>
            <w:tcW w:type="dxa" w:w="3458"/>
            <w:vAlign w:val="center"/>
            <w:shd w:fill="F9F6F3"/>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poculum epotum</w:t>
            </w:r>
          </w:p>
        </w:tc>
        <w:tc>
          <w:tcPr>
            <w:tcW w:type="dxa" w:w="3628"/>
            <w:vAlign w:val="center"/>
            <w:shd w:fill="F9F6F3"/>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Der Becher wurde ausgetrunken.</w:t>
            </w:r>
          </w:p>
        </w:tc>
        <w:tc>
          <w:tcPr>
            <w:tcW w:type="dxa" w:w="1247"/>
            <w:vAlign w:val="center"/>
            <w:shd w:fill="F9F6F3"/>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Gefäß statt Inhalt</w:t>
            </w:r>
          </w:p>
        </w:tc>
      </w:tr>
      <w:tr>
        <w:tc>
          <w:tcPr>
            <w:tcW w:type="dxa" w:w="1304"/>
            <w:vAlign w:val="center"/>
            <w:shd w:fill="FFFFFF"/>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Latein</w:t>
            </w:r>
          </w:p>
        </w:tc>
        <w:tc>
          <w:tcPr>
            <w:tcW w:type="dxa" w:w="3458"/>
            <w:vAlign w:val="center"/>
            <w:shd w:fill="FFFFFF"/>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cedant arma togae</w:t>
            </w:r>
          </w:p>
        </w:tc>
        <w:tc>
          <w:tcPr>
            <w:tcW w:type="dxa" w:w="3628"/>
            <w:vAlign w:val="center"/>
            <w:shd w:fill="FFFFFF"/>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Die Waffen sollen der Toga weichen.</w:t>
            </w:r>
          </w:p>
        </w:tc>
        <w:tc>
          <w:tcPr>
            <w:tcW w:type="dxa" w:w="1247"/>
            <w:vAlign w:val="center"/>
            <w:shd w:fill="FFFFFF"/>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Symbol-Metonymie</w:t>
            </w:r>
          </w:p>
        </w:tc>
      </w:tr>
      <w:tr>
        <w:tc>
          <w:tcPr>
            <w:tcW w:type="dxa" w:w="1304"/>
            <w:vAlign w:val="center"/>
            <w:shd w:fill="F9F6F3"/>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Französisch</w:t>
            </w:r>
          </w:p>
        </w:tc>
        <w:tc>
          <w:tcPr>
            <w:tcW w:type="dxa" w:w="3458"/>
            <w:vAlign w:val="center"/>
            <w:shd w:fill="F9F6F3"/>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j’ai quitté la robe pour l’épée</w:t>
            </w:r>
          </w:p>
        </w:tc>
        <w:tc>
          <w:tcPr>
            <w:tcW w:type="dxa" w:w="3628"/>
            <w:vAlign w:val="center"/>
            <w:shd w:fill="F9F6F3"/>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Ich habe die Robe gegen das Schwert eingetauscht.</w:t>
            </w:r>
          </w:p>
        </w:tc>
        <w:tc>
          <w:tcPr>
            <w:tcW w:type="dxa" w:w="1247"/>
            <w:vAlign w:val="center"/>
            <w:shd w:fill="F9F6F3"/>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Stand / Rolle durch Symbol</w:t>
            </w:r>
          </w:p>
        </w:tc>
      </w:tr>
      <w:tr>
        <w:tc>
          <w:tcPr>
            <w:tcW w:type="dxa" w:w="1304"/>
            <w:vAlign w:val="center"/>
            <w:shd w:fill="FFFFFF"/>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Latein</w:t>
            </w:r>
          </w:p>
        </w:tc>
        <w:tc>
          <w:tcPr>
            <w:tcW w:type="dxa" w:w="3458"/>
            <w:vAlign w:val="center"/>
            <w:shd w:fill="FFFFFF"/>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Venerem quam coitum dixisse magis decet</w:t>
            </w:r>
          </w:p>
        </w:tc>
        <w:tc>
          <w:tcPr>
            <w:tcW w:type="dxa" w:w="3628"/>
            <w:vAlign w:val="center"/>
            <w:shd w:fill="FFFFFF"/>
            <w:tcBorders>
              <w:left w:val="single" w:sz="6" w:color="DDD2CB"/>
              <w:top w:val="single" w:sz="6" w:color="DDD2CB"/>
              <w:right w:val="single" w:sz="6" w:color="DDD2CB"/>
              <w:bottom w:val="single" w:sz="6" w:color="DDD2CB"/>
            </w:tcBorders>
          </w:tcPr>
          <w:p>
            <w:pPr>
              <w:spacing w:before="0" w:after="0" w:line="276" w:lineRule="auto"/>
              <w:jc w:val="left"/>
            </w:pPr>
            <w:r>
              <w:rPr>
                <w:rFonts w:ascii="Aptos" w:hAnsi="Aptos"/>
                <w:b w:val="0"/>
                <w:i w:val="0"/>
                <w:color w:val="212121"/>
                <w:sz w:val="19"/>
              </w:rPr>
              <w:t>Es ziemt sich eher, „Venus“ zu sagen als „Beischlaf“.</w:t>
            </w:r>
          </w:p>
        </w:tc>
        <w:tc>
          <w:tcPr>
            <w:tcW w:type="dxa" w:w="1247"/>
            <w:vAlign w:val="center"/>
            <w:shd w:fill="FFFFFF"/>
            <w:tcBorders>
              <w:left w:val="single" w:sz="6" w:color="DDD2CB"/>
              <w:top w:val="single" w:sz="6" w:color="DDD2CB"/>
              <w:right w:val="single" w:sz="6" w:color="DDD2CB"/>
              <w:bottom w:val="single" w:sz="6" w:color="DDD2CB"/>
            </w:tcBorders>
          </w:tcPr>
          <w:p>
            <w:pPr>
              <w:spacing w:before="0" w:after="0" w:line="276" w:lineRule="auto"/>
              <w:jc w:val="center"/>
            </w:pPr>
            <w:r>
              <w:rPr>
                <w:rFonts w:ascii="Aptos" w:hAnsi="Aptos"/>
                <w:b w:val="0"/>
                <w:i w:val="0"/>
                <w:color w:val="212121"/>
                <w:sz w:val="19"/>
              </w:rPr>
              <w:t>aptum / veredelnde Benennung</w:t>
            </w:r>
          </w:p>
        </w:tc>
      </w:tr>
    </w:tbl>
    <w:p>
      <w:pPr>
        <w:spacing w:after="120"/>
      </w:pPr>
    </w:p>
    <w:p>
      <w:pPr>
        <w:pStyle w:val="Heading1"/>
        <w:spacing w:before="200" w:after="80" w:line="252" w:lineRule="auto"/>
      </w:pPr>
      <w:r>
        <w:rPr>
          <w:rFonts w:ascii="Aptos" w:hAnsi="Aptos"/>
          <w:b/>
          <w:color w:val="5F2517"/>
          <w:sz w:val="31"/>
        </w:rPr>
        <w:t>Klassische Muster knapp sortiert</w:t>
      </w:r>
    </w:p>
    <w:p>
      <w:pPr>
        <w:pStyle w:val="Heading2"/>
        <w:spacing w:before="120" w:after="80" w:line="252" w:lineRule="auto"/>
      </w:pPr>
      <w:r>
        <w:rPr>
          <w:rFonts w:ascii="Aptos" w:hAnsi="Aptos"/>
          <w:b/>
          <w:color w:val="7A4131"/>
          <w:sz w:val="25"/>
        </w:rPr>
        <w:t>Person – Sache</w:t>
      </w:r>
    </w:p>
    <w:p>
      <w:pPr>
        <w:pStyle w:val="ListBullet"/>
        <w:spacing w:after="40"/>
        <w:ind w:left="340"/>
      </w:pPr>
      <w:r>
        <w:rPr>
          <w:rFonts w:ascii="Aptos" w:hAnsi="Aptos"/>
          <w:b w:val="0"/>
          <w:i w:val="0"/>
          <w:color w:val="212121"/>
          <w:sz w:val="21"/>
        </w:rPr>
        <w:t>Mars = Krieg</w:t>
      </w:r>
    </w:p>
    <w:p>
      <w:pPr>
        <w:pStyle w:val="ListBullet"/>
        <w:spacing w:after="40"/>
        <w:ind w:left="340"/>
      </w:pPr>
      <w:r>
        <w:rPr>
          <w:rFonts w:ascii="Aptos" w:hAnsi="Aptos"/>
          <w:b w:val="0"/>
          <w:i w:val="0"/>
          <w:color w:val="212121"/>
          <w:sz w:val="21"/>
        </w:rPr>
        <w:t>Neptun = Meer</w:t>
      </w:r>
    </w:p>
    <w:p>
      <w:pPr>
        <w:pStyle w:val="ListBullet"/>
        <w:spacing w:after="40"/>
        <w:ind w:left="340"/>
      </w:pPr>
      <w:r>
        <w:rPr>
          <w:rFonts w:ascii="Aptos" w:hAnsi="Aptos"/>
          <w:b w:val="0"/>
          <w:i w:val="0"/>
          <w:color w:val="212121"/>
          <w:sz w:val="21"/>
        </w:rPr>
        <w:t>Ucalegon = Haus / Besitz / Wohnbereich</w:t>
      </w:r>
    </w:p>
    <w:p>
      <w:pPr>
        <w:pStyle w:val="Heading2"/>
        <w:spacing w:before="120" w:after="80" w:line="252" w:lineRule="auto"/>
      </w:pPr>
      <w:r>
        <w:rPr>
          <w:rFonts w:ascii="Aptos" w:hAnsi="Aptos"/>
          <w:b/>
          <w:color w:val="7A4131"/>
          <w:sz w:val="25"/>
        </w:rPr>
        <w:t>Gefäß – Inhalt</w:t>
      </w:r>
    </w:p>
    <w:p>
      <w:pPr>
        <w:pStyle w:val="ListBullet"/>
        <w:spacing w:after="40"/>
        <w:ind w:left="340"/>
      </w:pPr>
      <w:r>
        <w:rPr>
          <w:rFonts w:ascii="Aptos" w:hAnsi="Aptos"/>
          <w:b w:val="0"/>
          <w:i w:val="0"/>
          <w:color w:val="212121"/>
          <w:sz w:val="21"/>
        </w:rPr>
        <w:t>Becher = Getränk</w:t>
      </w:r>
    </w:p>
    <w:p>
      <w:pPr>
        <w:pStyle w:val="ListBullet"/>
        <w:spacing w:after="40"/>
        <w:ind w:left="340"/>
      </w:pPr>
      <w:r>
        <w:rPr>
          <w:rFonts w:ascii="Aptos" w:hAnsi="Aptos"/>
          <w:b w:val="0"/>
          <w:i w:val="0"/>
          <w:color w:val="212121"/>
          <w:sz w:val="21"/>
        </w:rPr>
        <w:t>Glas = Wein</w:t>
      </w:r>
    </w:p>
    <w:p>
      <w:pPr>
        <w:pStyle w:val="Heading2"/>
        <w:spacing w:before="120" w:after="80" w:line="252" w:lineRule="auto"/>
      </w:pPr>
      <w:r>
        <w:rPr>
          <w:rFonts w:ascii="Aptos" w:hAnsi="Aptos"/>
          <w:b/>
          <w:color w:val="7A4131"/>
          <w:sz w:val="25"/>
        </w:rPr>
        <w:t>Symbol – Gemeintes</w:t>
      </w:r>
    </w:p>
    <w:p>
      <w:pPr>
        <w:pStyle w:val="ListBullet"/>
        <w:spacing w:after="40"/>
        <w:ind w:left="340"/>
      </w:pPr>
      <w:r>
        <w:rPr>
          <w:rFonts w:ascii="Aptos" w:hAnsi="Aptos"/>
          <w:b w:val="0"/>
          <w:i w:val="0"/>
          <w:color w:val="212121"/>
          <w:sz w:val="21"/>
        </w:rPr>
        <w:t>Waffen = Krieg / Gewalt</w:t>
      </w:r>
    </w:p>
    <w:p>
      <w:pPr>
        <w:pStyle w:val="ListBullet"/>
        <w:spacing w:after="40"/>
        <w:ind w:left="340"/>
      </w:pPr>
      <w:r>
        <w:rPr>
          <w:rFonts w:ascii="Aptos" w:hAnsi="Aptos"/>
          <w:b w:val="0"/>
          <w:i w:val="0"/>
          <w:color w:val="212121"/>
          <w:sz w:val="21"/>
        </w:rPr>
        <w:t>Toga = zivile Ordnung</w:t>
      </w:r>
    </w:p>
    <w:p>
      <w:pPr>
        <w:pStyle w:val="ListBullet"/>
        <w:spacing w:after="40"/>
        <w:ind w:left="340"/>
      </w:pPr>
      <w:r>
        <w:rPr>
          <w:rFonts w:ascii="Aptos" w:hAnsi="Aptos"/>
          <w:b w:val="0"/>
          <w:i w:val="0"/>
          <w:color w:val="212121"/>
          <w:sz w:val="21"/>
        </w:rPr>
        <w:t>Robe = Stand / Amt</w:t>
      </w:r>
    </w:p>
    <w:p>
      <w:pPr>
        <w:pStyle w:val="ListBullet"/>
        <w:spacing w:after="40"/>
        <w:ind w:left="340"/>
      </w:pPr>
      <w:r>
        <w:rPr>
          <w:rFonts w:ascii="Aptos" w:hAnsi="Aptos"/>
          <w:b w:val="0"/>
          <w:i w:val="0"/>
          <w:color w:val="212121"/>
          <w:sz w:val="21"/>
        </w:rPr>
        <w:t>Schwert = kämpferische Rolle oder militärische Sphäre</w:t>
      </w:r>
    </w:p>
    <w:p>
      <w:pPr>
        <w:pStyle w:val="Heading1"/>
        <w:spacing w:before="200" w:after="80" w:line="252" w:lineRule="auto"/>
      </w:pPr>
      <w:r>
        <w:rPr>
          <w:rFonts w:ascii="Aptos" w:hAnsi="Aptos"/>
          <w:b/>
          <w:color w:val="5F2517"/>
          <w:sz w:val="31"/>
        </w:rPr>
        <w:t>Fundus Benjamin | geschärfte deutsche Beispiele</w:t>
      </w:r>
    </w:p>
    <w:p>
      <w:pPr>
        <w:pStyle w:val="ListBullet"/>
        <w:spacing w:after="40"/>
        <w:ind w:left="340"/>
      </w:pPr>
      <w:r>
        <w:rPr>
          <w:rFonts w:ascii="Aptos" w:hAnsi="Aptos"/>
          <w:b w:val="0"/>
          <w:i w:val="0"/>
          <w:color w:val="212121"/>
          <w:sz w:val="21"/>
        </w:rPr>
        <w:t>Die Kanzel schwieg, wo sie hätte warnen müssen.</w:t>
      </w:r>
    </w:p>
    <w:p>
      <w:pPr>
        <w:pStyle w:val="ListBullet"/>
        <w:spacing w:after="40"/>
        <w:ind w:left="340"/>
      </w:pPr>
      <w:r>
        <w:rPr>
          <w:rFonts w:ascii="Aptos" w:hAnsi="Aptos"/>
          <w:b w:val="0"/>
          <w:i w:val="0"/>
          <w:color w:val="212121"/>
          <w:sz w:val="21"/>
        </w:rPr>
        <w:t>Der Tisch des Herrn ist offen, aber nicht belanglos.</w:t>
      </w:r>
    </w:p>
    <w:p>
      <w:pPr>
        <w:pStyle w:val="ListBullet"/>
        <w:spacing w:after="40"/>
        <w:ind w:left="340"/>
      </w:pPr>
      <w:r>
        <w:rPr>
          <w:rFonts w:ascii="Aptos" w:hAnsi="Aptos"/>
          <w:b w:val="0"/>
          <w:i w:val="0"/>
          <w:color w:val="212121"/>
          <w:sz w:val="21"/>
        </w:rPr>
        <w:t>Wer nur die Krone will, versteht das Kreuz nicht.</w:t>
      </w:r>
    </w:p>
    <w:p>
      <w:pPr>
        <w:pStyle w:val="ListBullet"/>
        <w:spacing w:after="40"/>
        <w:ind w:left="340"/>
      </w:pPr>
      <w:r>
        <w:rPr>
          <w:rFonts w:ascii="Aptos" w:hAnsi="Aptos"/>
          <w:b w:val="0"/>
          <w:i w:val="0"/>
          <w:color w:val="212121"/>
          <w:sz w:val="21"/>
        </w:rPr>
        <w:t>Heute redet nicht nur die Straße, heute redet die Not.</w:t>
      </w:r>
    </w:p>
    <w:p>
      <w:pPr>
        <w:pStyle w:val="ListBullet"/>
        <w:spacing w:after="40"/>
        <w:ind w:left="340"/>
      </w:pPr>
      <w:r>
        <w:rPr>
          <w:rFonts w:ascii="Aptos" w:hAnsi="Aptos"/>
          <w:b w:val="0"/>
          <w:i w:val="0"/>
          <w:color w:val="212121"/>
          <w:sz w:val="21"/>
        </w:rPr>
        <w:t>Manche verteidigen die Form, während das Evangelium aus dem Raum weicht.</w:t>
      </w:r>
    </w:p>
    <w:p>
      <w:pPr>
        <w:pStyle w:val="ListBullet"/>
        <w:spacing w:after="40"/>
        <w:ind w:left="340"/>
      </w:pPr>
      <w:r>
        <w:rPr>
          <w:rFonts w:ascii="Aptos" w:hAnsi="Aptos"/>
          <w:b w:val="0"/>
          <w:i w:val="0"/>
          <w:color w:val="212121"/>
          <w:sz w:val="21"/>
        </w:rPr>
        <w:t>Oft ist die Bank besetzt, aber nicht der Glaube.</w:t>
      </w:r>
    </w:p>
    <w:p>
      <w:pPr>
        <w:pStyle w:val="ListBullet"/>
        <w:spacing w:after="40"/>
        <w:ind w:left="340"/>
      </w:pPr>
      <w:r>
        <w:rPr>
          <w:rFonts w:ascii="Aptos" w:hAnsi="Aptos"/>
          <w:b w:val="0"/>
          <w:i w:val="0"/>
          <w:color w:val="212121"/>
          <w:sz w:val="21"/>
        </w:rPr>
        <w:t>Man pflegt das Haus, aber vernachlässigt das Gebet.</w:t>
      </w:r>
    </w:p>
    <w:tbl>
      <w:tblPr>
        <w:tblW w:type="auto" w:w="0"/>
        <w:jc w:val="center"/>
        <w:tblLayout w:type="fixed"/>
        <w:tblLook w:firstColumn="1" w:firstRow="1" w:lastColumn="0" w:lastRow="0" w:noHBand="0" w:noVBand="1" w:val="04A0"/>
      </w:tblPr>
      <w:tblGrid>
        <w:gridCol w:w="8928"/>
      </w:tblGrid>
      <w:tr>
        <w:tc>
          <w:tcPr>
            <w:tcW w:type="dxa" w:w="9858"/>
            <w:shd w:fill="F9F6F3"/>
            <w:tcBorders>
              <w:left w:val="single" w:sz="10" w:color="C8B3A5"/>
              <w:top w:val="single" w:sz="10" w:color="C8B3A5"/>
              <w:right w:val="single" w:sz="10" w:color="C8B3A5"/>
              <w:bottom w:val="single" w:sz="10" w:color="C8B3A5"/>
            </w:tcBorders>
            <w:vAlign w:val="center"/>
          </w:tcPr>
          <w:p>
            <w:pPr>
              <w:spacing w:before="0" w:after="80" w:line="264" w:lineRule="auto"/>
            </w:pPr>
            <w:r>
              <w:rPr>
                <w:rFonts w:ascii="Aptos" w:hAnsi="Aptos"/>
                <w:b/>
                <w:color w:val="5F2517"/>
                <w:sz w:val="20"/>
              </w:rPr>
              <w:t>Werkstattnotiz</w:t>
            </w:r>
          </w:p>
          <w:p>
            <w:pPr>
              <w:spacing w:before="0" w:after="0" w:line="288" w:lineRule="auto"/>
            </w:pPr>
            <w:r>
              <w:rPr>
                <w:rFonts w:ascii="Aptos" w:hAnsi="Aptos"/>
                <w:b w:val="0"/>
                <w:i w:val="0"/>
                <w:color w:val="212121"/>
                <w:sz w:val="21"/>
              </w:rPr>
              <w:t>Diese Reihe soll nicht bloß Schmuck liefern. Das Ziel ist die lautsprechbare Verdichtung für Kanzel, Andacht, Seelsorge und geistliche Leitung.</w:t>
            </w:r>
          </w:p>
        </w:tc>
      </w:tr>
    </w:tbl>
    <w:p>
      <w:pPr>
        <w:spacing w:after="120"/>
      </w:pPr>
    </w:p>
    <w:p>
      <w:pPr>
        <w:pStyle w:val="Heading1"/>
        <w:spacing w:before="200" w:after="80" w:line="252" w:lineRule="auto"/>
      </w:pPr>
      <w:r>
        <w:rPr>
          <w:rFonts w:ascii="Aptos" w:hAnsi="Aptos"/>
          <w:b/>
          <w:color w:val="5F2517"/>
          <w:sz w:val="31"/>
        </w:rPr>
        <w:t>Neuschöpfungen | predigtfähig</w:t>
      </w:r>
    </w:p>
    <w:p>
      <w:pPr>
        <w:pStyle w:val="Heading2"/>
        <w:spacing w:before="120" w:after="80" w:line="252" w:lineRule="auto"/>
      </w:pPr>
      <w:r>
        <w:rPr>
          <w:rFonts w:ascii="Aptos" w:hAnsi="Aptos"/>
          <w:b/>
          <w:color w:val="7A4131"/>
          <w:sz w:val="25"/>
        </w:rPr>
        <w:t>Gemeinde</w:t>
      </w:r>
    </w:p>
    <w:p>
      <w:pPr>
        <w:pStyle w:val="ListBullet"/>
        <w:spacing w:after="40"/>
        <w:ind w:left="340"/>
      </w:pPr>
      <w:r>
        <w:rPr>
          <w:rFonts w:ascii="Aptos" w:hAnsi="Aptos"/>
          <w:b w:val="0"/>
          <w:i w:val="0"/>
          <w:color w:val="212121"/>
          <w:sz w:val="21"/>
        </w:rPr>
        <w:t>Wenn das Haus Gottes voll ist, heißt das noch nicht, dass die Herzen offen sind.</w:t>
      </w:r>
    </w:p>
    <w:p>
      <w:pPr>
        <w:pStyle w:val="ListBullet"/>
        <w:spacing w:after="40"/>
        <w:ind w:left="340"/>
      </w:pPr>
      <w:r>
        <w:rPr>
          <w:rFonts w:ascii="Aptos" w:hAnsi="Aptos"/>
          <w:b w:val="0"/>
          <w:i w:val="0"/>
          <w:color w:val="212121"/>
          <w:sz w:val="21"/>
        </w:rPr>
        <w:t>Wo die Bänke tragen, aber niemand mehr trägt, wird Liturgie zur Hülle.</w:t>
      </w:r>
    </w:p>
    <w:p>
      <w:pPr>
        <w:pStyle w:val="ListBullet"/>
        <w:spacing w:after="40"/>
        <w:ind w:left="340"/>
      </w:pPr>
      <w:r>
        <w:rPr>
          <w:rFonts w:ascii="Aptos" w:hAnsi="Aptos"/>
          <w:b w:val="0"/>
          <w:i w:val="0"/>
          <w:color w:val="212121"/>
          <w:sz w:val="21"/>
        </w:rPr>
        <w:t>Die Kirche singt – und doch hungert die Gemeinde nach Wahrheit.</w:t>
      </w:r>
    </w:p>
    <w:p>
      <w:pPr>
        <w:pStyle w:val="Heading2"/>
        <w:spacing w:before="120" w:after="80" w:line="252" w:lineRule="auto"/>
      </w:pPr>
      <w:r>
        <w:rPr>
          <w:rFonts w:ascii="Aptos" w:hAnsi="Aptos"/>
          <w:b/>
          <w:color w:val="7A4131"/>
          <w:sz w:val="25"/>
        </w:rPr>
        <w:t>Buße</w:t>
      </w:r>
    </w:p>
    <w:p>
      <w:pPr>
        <w:pStyle w:val="ListBullet"/>
        <w:spacing w:after="40"/>
        <w:ind w:left="340"/>
      </w:pPr>
      <w:r>
        <w:rPr>
          <w:rFonts w:ascii="Aptos" w:hAnsi="Aptos"/>
          <w:b w:val="0"/>
          <w:i w:val="0"/>
          <w:color w:val="212121"/>
          <w:sz w:val="21"/>
        </w:rPr>
        <w:t>Du schützt dein Image und verlierst deine Seele.</w:t>
      </w:r>
    </w:p>
    <w:p>
      <w:pPr>
        <w:pStyle w:val="ListBullet"/>
        <w:spacing w:after="40"/>
        <w:ind w:left="340"/>
      </w:pPr>
      <w:r>
        <w:rPr>
          <w:rFonts w:ascii="Aptos" w:hAnsi="Aptos"/>
          <w:b w:val="0"/>
          <w:i w:val="0"/>
          <w:color w:val="212121"/>
          <w:sz w:val="21"/>
        </w:rPr>
        <w:t>Manche polieren die Fassade, während innen das Leben fault.</w:t>
      </w:r>
    </w:p>
    <w:p>
      <w:pPr>
        <w:pStyle w:val="ListBullet"/>
        <w:spacing w:after="40"/>
        <w:ind w:left="340"/>
      </w:pPr>
      <w:r>
        <w:rPr>
          <w:rFonts w:ascii="Aptos" w:hAnsi="Aptos"/>
          <w:b w:val="0"/>
          <w:i w:val="0"/>
          <w:color w:val="212121"/>
          <w:sz w:val="21"/>
        </w:rPr>
        <w:t>Wer nur an der Außenseite arbeitet, wird von innen hohl.</w:t>
      </w:r>
    </w:p>
    <w:p>
      <w:pPr>
        <w:pStyle w:val="Heading2"/>
        <w:spacing w:before="120" w:after="80" w:line="252" w:lineRule="auto"/>
      </w:pPr>
      <w:r>
        <w:rPr>
          <w:rFonts w:ascii="Aptos" w:hAnsi="Aptos"/>
          <w:b/>
          <w:color w:val="7A4131"/>
          <w:sz w:val="25"/>
        </w:rPr>
        <w:t>Abendmahl</w:t>
      </w:r>
    </w:p>
    <w:p>
      <w:pPr>
        <w:pStyle w:val="ListBullet"/>
        <w:spacing w:after="40"/>
        <w:ind w:left="340"/>
      </w:pPr>
      <w:r>
        <w:rPr>
          <w:rFonts w:ascii="Aptos" w:hAnsi="Aptos"/>
          <w:b w:val="0"/>
          <w:i w:val="0"/>
          <w:color w:val="212121"/>
          <w:sz w:val="21"/>
        </w:rPr>
        <w:t>Wer den Tisch nur liturgisch sieht, hat die Einladung noch nicht verstanden.</w:t>
      </w:r>
    </w:p>
    <w:p>
      <w:pPr>
        <w:pStyle w:val="ListBullet"/>
        <w:spacing w:after="40"/>
        <w:ind w:left="340"/>
      </w:pPr>
      <w:r>
        <w:rPr>
          <w:rFonts w:ascii="Aptos" w:hAnsi="Aptos"/>
          <w:b w:val="0"/>
          <w:i w:val="0"/>
          <w:color w:val="212121"/>
          <w:sz w:val="21"/>
        </w:rPr>
        <w:t>Am Kelch entscheidet sich nicht alles, aber an dem, was er meint, sehr viel.</w:t>
      </w:r>
    </w:p>
    <w:p>
      <w:pPr>
        <w:pStyle w:val="ListBullet"/>
        <w:spacing w:after="40"/>
        <w:ind w:left="340"/>
      </w:pPr>
      <w:r>
        <w:rPr>
          <w:rFonts w:ascii="Aptos" w:hAnsi="Aptos"/>
          <w:b w:val="0"/>
          <w:i w:val="0"/>
          <w:color w:val="212121"/>
          <w:sz w:val="21"/>
        </w:rPr>
        <w:t>Das Brot liegt klein vor dir – und trägt doch ein ganzes Evangelium.</w:t>
      </w:r>
    </w:p>
    <w:p>
      <w:pPr>
        <w:pStyle w:val="Heading2"/>
        <w:spacing w:before="120" w:after="80" w:line="252" w:lineRule="auto"/>
      </w:pPr>
      <w:r>
        <w:rPr>
          <w:rFonts w:ascii="Aptos" w:hAnsi="Aptos"/>
          <w:b/>
          <w:color w:val="7A4131"/>
          <w:sz w:val="25"/>
        </w:rPr>
        <w:t>Passion / Christus</w:t>
      </w:r>
    </w:p>
    <w:p>
      <w:pPr>
        <w:pStyle w:val="ListBullet"/>
        <w:spacing w:after="40"/>
        <w:ind w:left="340"/>
      </w:pPr>
      <w:r>
        <w:rPr>
          <w:rFonts w:ascii="Aptos" w:hAnsi="Aptos"/>
          <w:b w:val="0"/>
          <w:i w:val="0"/>
          <w:color w:val="212121"/>
          <w:sz w:val="21"/>
        </w:rPr>
        <w:t>Wer nur die Krone sucht, flieht das Kreuz.</w:t>
      </w:r>
    </w:p>
    <w:p>
      <w:pPr>
        <w:pStyle w:val="ListBullet"/>
        <w:spacing w:after="40"/>
        <w:ind w:left="340"/>
      </w:pPr>
      <w:r>
        <w:rPr>
          <w:rFonts w:ascii="Aptos" w:hAnsi="Aptos"/>
          <w:b w:val="0"/>
          <w:i w:val="0"/>
          <w:color w:val="212121"/>
          <w:sz w:val="21"/>
        </w:rPr>
        <w:t>Das Holz predigt oft klarer als tausend kluge Sätze.</w:t>
      </w:r>
    </w:p>
    <w:p>
      <w:pPr>
        <w:pStyle w:val="ListBullet"/>
        <w:spacing w:after="40"/>
        <w:ind w:left="340"/>
      </w:pPr>
      <w:r>
        <w:rPr>
          <w:rFonts w:ascii="Aptos" w:hAnsi="Aptos"/>
          <w:b w:val="0"/>
          <w:i w:val="0"/>
          <w:color w:val="212121"/>
          <w:sz w:val="21"/>
        </w:rPr>
        <w:t>Unter dem Kreuz stirbt nicht nur ein Leib – dort bricht ein Reich herein.</w:t>
      </w:r>
    </w:p>
    <w:p>
      <w:pPr>
        <w:pStyle w:val="Heading2"/>
        <w:spacing w:before="120" w:after="80" w:line="252" w:lineRule="auto"/>
      </w:pPr>
      <w:r>
        <w:rPr>
          <w:rFonts w:ascii="Aptos" w:hAnsi="Aptos"/>
          <w:b/>
          <w:color w:val="7A4131"/>
          <w:sz w:val="25"/>
        </w:rPr>
        <w:t>Prophetisch</w:t>
      </w:r>
    </w:p>
    <w:p>
      <w:pPr>
        <w:pStyle w:val="ListBullet"/>
        <w:spacing w:after="40"/>
        <w:ind w:left="340"/>
      </w:pPr>
      <w:r>
        <w:rPr>
          <w:rFonts w:ascii="Aptos" w:hAnsi="Aptos"/>
          <w:b w:val="0"/>
          <w:i w:val="0"/>
          <w:color w:val="212121"/>
          <w:sz w:val="21"/>
        </w:rPr>
        <w:t>Die Straße ist laut, weil die Häuser leer geworden sind.</w:t>
      </w:r>
    </w:p>
    <w:p>
      <w:pPr>
        <w:pStyle w:val="ListBullet"/>
        <w:spacing w:after="40"/>
        <w:ind w:left="340"/>
      </w:pPr>
      <w:r>
        <w:rPr>
          <w:rFonts w:ascii="Aptos" w:hAnsi="Aptos"/>
          <w:b w:val="0"/>
          <w:i w:val="0"/>
          <w:color w:val="212121"/>
          <w:sz w:val="21"/>
        </w:rPr>
        <w:t>Wo der Markt predigt, wird die Wahrheit oft leise.</w:t>
      </w:r>
    </w:p>
    <w:p>
      <w:pPr>
        <w:pStyle w:val="ListBullet"/>
        <w:spacing w:after="40"/>
        <w:ind w:left="340"/>
      </w:pPr>
      <w:r>
        <w:rPr>
          <w:rFonts w:ascii="Aptos" w:hAnsi="Aptos"/>
          <w:b w:val="0"/>
          <w:i w:val="0"/>
          <w:color w:val="212121"/>
          <w:sz w:val="21"/>
        </w:rPr>
        <w:t>Wenn nur noch die Bühne zählt, verhungert der Altar.</w:t>
      </w:r>
    </w:p>
    <w:p>
      <w:pPr>
        <w:pStyle w:val="Heading2"/>
        <w:spacing w:before="120" w:after="80" w:line="252" w:lineRule="auto"/>
      </w:pPr>
      <w:r>
        <w:rPr>
          <w:rFonts w:ascii="Aptos" w:hAnsi="Aptos"/>
          <w:b/>
          <w:color w:val="7A4131"/>
          <w:sz w:val="25"/>
        </w:rPr>
        <w:t>Seelsorge</w:t>
      </w:r>
    </w:p>
    <w:p>
      <w:pPr>
        <w:pStyle w:val="ListBullet"/>
        <w:spacing w:after="40"/>
        <w:ind w:left="340"/>
      </w:pPr>
      <w:r>
        <w:rPr>
          <w:rFonts w:ascii="Aptos" w:hAnsi="Aptos"/>
          <w:b w:val="0"/>
          <w:i w:val="0"/>
          <w:color w:val="212121"/>
          <w:sz w:val="21"/>
        </w:rPr>
        <w:t>Du bewahrst dein Gesicht, aber verlierst den Frieden.</w:t>
      </w:r>
    </w:p>
    <w:p>
      <w:pPr>
        <w:pStyle w:val="ListBullet"/>
        <w:spacing w:after="40"/>
        <w:ind w:left="340"/>
      </w:pPr>
      <w:r>
        <w:rPr>
          <w:rFonts w:ascii="Aptos" w:hAnsi="Aptos"/>
          <w:b w:val="0"/>
          <w:i w:val="0"/>
          <w:color w:val="212121"/>
          <w:sz w:val="21"/>
        </w:rPr>
        <w:t>Manche halten an der Maske fest, obwohl das Herz längst um Hilfe schreit.</w:t>
      </w:r>
    </w:p>
    <w:p>
      <w:pPr>
        <w:pStyle w:val="ListBullet"/>
        <w:spacing w:after="40"/>
        <w:ind w:left="340"/>
      </w:pPr>
      <w:r>
        <w:rPr>
          <w:rFonts w:ascii="Aptos" w:hAnsi="Aptos"/>
          <w:b w:val="0"/>
          <w:i w:val="0"/>
          <w:color w:val="212121"/>
          <w:sz w:val="21"/>
        </w:rPr>
        <w:t>Nicht selten verteidigt der Mensch sein Bild, während seine Seele zerfällt.</w:t>
      </w:r>
    </w:p>
    <w:p>
      <w:pPr>
        <w:pStyle w:val="Heading1"/>
        <w:spacing w:before="200" w:after="80" w:line="252" w:lineRule="auto"/>
      </w:pPr>
      <w:r>
        <w:rPr>
          <w:rFonts w:ascii="Aptos" w:hAnsi="Aptos"/>
          <w:b/>
          <w:color w:val="5F2517"/>
          <w:sz w:val="31"/>
        </w:rPr>
        <w:t>Kombinationen | sinnvoll und sauber</w:t>
      </w:r>
    </w:p>
    <w:tbl>
      <w:tblPr>
        <w:tblStyle w:val="TableGrid"/>
        <w:tblW w:type="auto" w:w="0"/>
        <w:jc w:val="center"/>
        <w:tblLook w:firstColumn="1" w:firstRow="1" w:lastColumn="0" w:lastRow="0" w:noHBand="0" w:noVBand="1" w:val="04A0"/>
      </w:tblPr>
      <w:tblGrid>
        <w:gridCol w:w="2268"/>
        <w:gridCol w:w="3515"/>
        <w:gridCol w:w="2551"/>
        <w:gridCol w:w="1757"/>
      </w:tblGrid>
      <w:tr>
        <w:tc>
          <w:tcPr>
            <w:tcW w:type="dxa" w:w="2464"/>
            <w:shd w:fill="EEE4DC"/>
            <w:vAlign w:val="center"/>
          </w:tcPr>
          <w:p>
            <w:pPr>
              <w:spacing w:before="0" w:after="0" w:line="276" w:lineRule="auto"/>
              <w:jc w:val="center"/>
            </w:pPr>
            <w:r>
              <w:rPr>
                <w:rFonts w:ascii="Aptos" w:hAnsi="Aptos"/>
                <w:b/>
                <w:i w:val="0"/>
                <w:color w:val="5F2517"/>
                <w:sz w:val="19"/>
              </w:rPr>
              <w:t>Kombination</w:t>
            </w:r>
          </w:p>
        </w:tc>
        <w:tc>
          <w:tcPr>
            <w:tcW w:type="dxa" w:w="2464"/>
            <w:shd w:fill="EEE4DC"/>
            <w:vAlign w:val="center"/>
          </w:tcPr>
          <w:p>
            <w:pPr>
              <w:spacing w:before="0" w:after="0" w:line="276" w:lineRule="auto"/>
              <w:jc w:val="center"/>
            </w:pPr>
            <w:r>
              <w:rPr>
                <w:rFonts w:ascii="Aptos" w:hAnsi="Aptos"/>
                <w:b/>
                <w:i w:val="0"/>
                <w:color w:val="5F2517"/>
                <w:sz w:val="19"/>
              </w:rPr>
              <w:t>Beispiel</w:t>
            </w:r>
          </w:p>
        </w:tc>
        <w:tc>
          <w:tcPr>
            <w:tcW w:type="dxa" w:w="2464"/>
            <w:shd w:fill="EEE4DC"/>
            <w:vAlign w:val="center"/>
          </w:tcPr>
          <w:p>
            <w:pPr>
              <w:spacing w:before="0" w:after="0" w:line="276" w:lineRule="auto"/>
              <w:jc w:val="center"/>
            </w:pPr>
            <w:r>
              <w:rPr>
                <w:rFonts w:ascii="Aptos" w:hAnsi="Aptos"/>
                <w:b/>
                <w:i w:val="0"/>
                <w:color w:val="5F2517"/>
                <w:sz w:val="19"/>
              </w:rPr>
              <w:t>Nutzen</w:t>
            </w:r>
          </w:p>
        </w:tc>
        <w:tc>
          <w:tcPr>
            <w:tcW w:type="dxa" w:w="2464"/>
            <w:shd w:fill="EEE4DC"/>
            <w:vAlign w:val="center"/>
          </w:tcPr>
          <w:p>
            <w:pPr>
              <w:spacing w:before="0" w:after="0" w:line="276" w:lineRule="auto"/>
              <w:jc w:val="center"/>
            </w:pPr>
            <w:r>
              <w:rPr>
                <w:rFonts w:ascii="Aptos" w:hAnsi="Aptos"/>
                <w:b/>
                <w:i w:val="0"/>
                <w:color w:val="5F2517"/>
                <w:sz w:val="19"/>
              </w:rPr>
              <w:t>Hinweis</w:t>
            </w:r>
          </w:p>
        </w:tc>
      </w:tr>
      <w:tr>
        <w:tc>
          <w:tcPr>
            <w:tcW w:type="dxa" w:w="2268"/>
            <w:shd w:fill="F9F6F3"/>
            <w:vAlign w:val="center"/>
          </w:tcPr>
          <w:p>
            <w:pPr>
              <w:spacing w:before="0" w:after="0" w:line="276" w:lineRule="auto"/>
            </w:pPr>
            <w:r>
              <w:rPr>
                <w:rFonts w:ascii="Aptos" w:hAnsi="Aptos"/>
                <w:b w:val="0"/>
                <w:i w:val="0"/>
                <w:color w:val="212121"/>
                <w:sz w:val="18"/>
              </w:rPr>
              <w:t>Metonymie + Antithese</w:t>
            </w:r>
          </w:p>
        </w:tc>
        <w:tc>
          <w:tcPr>
            <w:tcW w:type="dxa" w:w="3515"/>
            <w:shd w:fill="F9F6F3"/>
            <w:vAlign w:val="center"/>
          </w:tcPr>
          <w:p>
            <w:pPr>
              <w:spacing w:before="0" w:after="0" w:line="276" w:lineRule="auto"/>
            </w:pPr>
            <w:r>
              <w:rPr>
                <w:rFonts w:ascii="Aptos" w:hAnsi="Aptos"/>
                <w:b w:val="0"/>
                <w:i w:val="0"/>
                <w:color w:val="212121"/>
                <w:sz w:val="18"/>
              </w:rPr>
              <w:t>Wer die Krone sucht, flieht das Kreuz.</w:t>
            </w:r>
          </w:p>
        </w:tc>
        <w:tc>
          <w:tcPr>
            <w:tcW w:type="dxa" w:w="2551"/>
            <w:shd w:fill="F9F6F3"/>
            <w:vAlign w:val="center"/>
          </w:tcPr>
          <w:p>
            <w:pPr>
              <w:spacing w:before="0" w:after="0" w:line="276" w:lineRule="auto"/>
            </w:pPr>
            <w:r>
              <w:rPr>
                <w:rFonts w:ascii="Aptos" w:hAnsi="Aptos"/>
                <w:b w:val="0"/>
                <w:i w:val="0"/>
                <w:color w:val="212121"/>
                <w:sz w:val="18"/>
              </w:rPr>
              <w:t>Die Nähefigur trägt den Gegensatz.</w:t>
            </w:r>
          </w:p>
        </w:tc>
        <w:tc>
          <w:tcPr>
            <w:tcW w:type="dxa" w:w="1757"/>
            <w:shd w:fill="F9F6F3"/>
            <w:vAlign w:val="center"/>
          </w:tcPr>
          <w:p>
            <w:pPr>
              <w:spacing w:before="0" w:after="0" w:line="276" w:lineRule="auto"/>
            </w:pPr>
            <w:r>
              <w:rPr>
                <w:rFonts w:ascii="Aptos" w:hAnsi="Aptos"/>
                <w:b w:val="0"/>
                <w:i w:val="0"/>
                <w:color w:val="212121"/>
                <w:sz w:val="18"/>
              </w:rPr>
              <w:t>kein reines Wortspiel</w:t>
            </w:r>
          </w:p>
        </w:tc>
      </w:tr>
      <w:tr>
        <w:tc>
          <w:tcPr>
            <w:tcW w:type="dxa" w:w="2268"/>
            <w:shd w:fill="FFFFFF"/>
            <w:vAlign w:val="center"/>
          </w:tcPr>
          <w:p>
            <w:pPr>
              <w:spacing w:before="0" w:after="0" w:line="276" w:lineRule="auto"/>
            </w:pPr>
            <w:r>
              <w:rPr>
                <w:rFonts w:ascii="Aptos" w:hAnsi="Aptos"/>
                <w:b w:val="0"/>
                <w:i w:val="0"/>
                <w:color w:val="212121"/>
                <w:sz w:val="18"/>
              </w:rPr>
              <w:t>Metonymie + Anapher</w:t>
            </w:r>
          </w:p>
        </w:tc>
        <w:tc>
          <w:tcPr>
            <w:tcW w:type="dxa" w:w="3515"/>
            <w:shd w:fill="FFFFFF"/>
            <w:vAlign w:val="center"/>
          </w:tcPr>
          <w:p>
            <w:pPr>
              <w:spacing w:before="0" w:after="0" w:line="276" w:lineRule="auto"/>
            </w:pPr>
            <w:r>
              <w:rPr>
                <w:rFonts w:ascii="Aptos" w:hAnsi="Aptos"/>
                <w:b w:val="0"/>
                <w:i w:val="0"/>
                <w:color w:val="212121"/>
                <w:sz w:val="18"/>
              </w:rPr>
              <w:t>Nicht die Form rettet dich. Nicht die Sprache rettet dich. Nicht die Rolle rettet dich.</w:t>
            </w:r>
          </w:p>
        </w:tc>
        <w:tc>
          <w:tcPr>
            <w:tcW w:type="dxa" w:w="2551"/>
            <w:shd w:fill="FFFFFF"/>
            <w:vAlign w:val="center"/>
          </w:tcPr>
          <w:p>
            <w:pPr>
              <w:spacing w:before="0" w:after="0" w:line="276" w:lineRule="auto"/>
            </w:pPr>
            <w:r>
              <w:rPr>
                <w:rFonts w:ascii="Aptos" w:hAnsi="Aptos"/>
                <w:b w:val="0"/>
                <w:i w:val="0"/>
                <w:color w:val="212121"/>
                <w:sz w:val="18"/>
              </w:rPr>
              <w:t>Die Wiederholung hämmert das metonymische Feld ein.</w:t>
            </w:r>
          </w:p>
        </w:tc>
        <w:tc>
          <w:tcPr>
            <w:tcW w:type="dxa" w:w="1757"/>
            <w:shd w:fill="FFFFFF"/>
            <w:vAlign w:val="center"/>
          </w:tcPr>
          <w:p>
            <w:pPr>
              <w:spacing w:before="0" w:after="0" w:line="276" w:lineRule="auto"/>
            </w:pPr>
            <w:r>
              <w:rPr>
                <w:rFonts w:ascii="Aptos" w:hAnsi="Aptos"/>
                <w:b w:val="0"/>
                <w:i w:val="0"/>
                <w:color w:val="212121"/>
                <w:sz w:val="18"/>
              </w:rPr>
              <w:t>gut für Schlusspassagen</w:t>
            </w:r>
          </w:p>
        </w:tc>
      </w:tr>
      <w:tr>
        <w:tc>
          <w:tcPr>
            <w:tcW w:type="dxa" w:w="2268"/>
            <w:shd w:fill="F9F6F3"/>
            <w:vAlign w:val="center"/>
          </w:tcPr>
          <w:p>
            <w:pPr>
              <w:spacing w:before="0" w:after="0" w:line="276" w:lineRule="auto"/>
            </w:pPr>
            <w:r>
              <w:rPr>
                <w:rFonts w:ascii="Aptos" w:hAnsi="Aptos"/>
                <w:b w:val="0"/>
                <w:i w:val="0"/>
                <w:color w:val="212121"/>
                <w:sz w:val="18"/>
              </w:rPr>
              <w:t>Metonymie + Correctio</w:t>
            </w:r>
          </w:p>
        </w:tc>
        <w:tc>
          <w:tcPr>
            <w:tcW w:type="dxa" w:w="3515"/>
            <w:shd w:fill="F9F6F3"/>
            <w:vAlign w:val="center"/>
          </w:tcPr>
          <w:p>
            <w:pPr>
              <w:spacing w:before="0" w:after="0" w:line="276" w:lineRule="auto"/>
            </w:pPr>
            <w:r>
              <w:rPr>
                <w:rFonts w:ascii="Aptos" w:hAnsi="Aptos"/>
                <w:b w:val="0"/>
                <w:i w:val="0"/>
                <w:color w:val="212121"/>
                <w:sz w:val="18"/>
              </w:rPr>
              <w:t>Nicht nur die Kanzel – nein: das ganze Haus hat geschwiegen.</w:t>
            </w:r>
          </w:p>
        </w:tc>
        <w:tc>
          <w:tcPr>
            <w:tcW w:type="dxa" w:w="2551"/>
            <w:shd w:fill="F9F6F3"/>
            <w:vAlign w:val="center"/>
          </w:tcPr>
          <w:p>
            <w:pPr>
              <w:spacing w:before="0" w:after="0" w:line="276" w:lineRule="auto"/>
            </w:pPr>
            <w:r>
              <w:rPr>
                <w:rFonts w:ascii="Aptos" w:hAnsi="Aptos"/>
                <w:b w:val="0"/>
                <w:i w:val="0"/>
                <w:color w:val="212121"/>
                <w:sz w:val="18"/>
              </w:rPr>
              <w:t>Erweiterung des Bedeutungsfeldes durch Nachschärfung.</w:t>
            </w:r>
          </w:p>
        </w:tc>
        <w:tc>
          <w:tcPr>
            <w:tcW w:type="dxa" w:w="1757"/>
            <w:shd w:fill="F9F6F3"/>
            <w:vAlign w:val="center"/>
          </w:tcPr>
          <w:p>
            <w:pPr>
              <w:spacing w:before="0" w:after="0" w:line="276" w:lineRule="auto"/>
            </w:pPr>
            <w:r>
              <w:rPr>
                <w:rFonts w:ascii="Aptos" w:hAnsi="Aptos"/>
                <w:b w:val="0"/>
                <w:i w:val="0"/>
                <w:color w:val="212121"/>
                <w:sz w:val="18"/>
              </w:rPr>
              <w:t>wirksam in prophetischem Ton</w:t>
            </w:r>
          </w:p>
        </w:tc>
      </w:tr>
      <w:tr>
        <w:tc>
          <w:tcPr>
            <w:tcW w:type="dxa" w:w="2268"/>
            <w:shd w:fill="FFFFFF"/>
            <w:vAlign w:val="center"/>
          </w:tcPr>
          <w:p>
            <w:pPr>
              <w:spacing w:before="0" w:after="0" w:line="276" w:lineRule="auto"/>
            </w:pPr>
            <w:r>
              <w:rPr>
                <w:rFonts w:ascii="Aptos" w:hAnsi="Aptos"/>
                <w:b w:val="0"/>
                <w:i w:val="0"/>
                <w:color w:val="212121"/>
                <w:sz w:val="18"/>
              </w:rPr>
              <w:t>Metonymie + Symbolsprache</w:t>
            </w:r>
          </w:p>
        </w:tc>
        <w:tc>
          <w:tcPr>
            <w:tcW w:type="dxa" w:w="3515"/>
            <w:shd w:fill="FFFFFF"/>
            <w:vAlign w:val="center"/>
          </w:tcPr>
          <w:p>
            <w:pPr>
              <w:spacing w:before="0" w:after="0" w:line="276" w:lineRule="auto"/>
            </w:pPr>
            <w:r>
              <w:rPr>
                <w:rFonts w:ascii="Aptos" w:hAnsi="Aptos"/>
                <w:b w:val="0"/>
                <w:i w:val="0"/>
                <w:color w:val="212121"/>
                <w:sz w:val="18"/>
              </w:rPr>
              <w:t>Das Kreuz widerspricht deiner Selbstrechtfertigung.</w:t>
            </w:r>
          </w:p>
        </w:tc>
        <w:tc>
          <w:tcPr>
            <w:tcW w:type="dxa" w:w="2551"/>
            <w:shd w:fill="FFFFFF"/>
            <w:vAlign w:val="center"/>
          </w:tcPr>
          <w:p>
            <w:pPr>
              <w:spacing w:before="0" w:after="0" w:line="276" w:lineRule="auto"/>
            </w:pPr>
            <w:r>
              <w:rPr>
                <w:rFonts w:ascii="Aptos" w:hAnsi="Aptos"/>
                <w:b w:val="0"/>
                <w:i w:val="0"/>
                <w:color w:val="212121"/>
                <w:sz w:val="18"/>
              </w:rPr>
              <w:t>Symbol bündelt Theologie, Affekt und Kultur.</w:t>
            </w:r>
          </w:p>
        </w:tc>
        <w:tc>
          <w:tcPr>
            <w:tcW w:type="dxa" w:w="1757"/>
            <w:shd w:fill="FFFFFF"/>
            <w:vAlign w:val="center"/>
          </w:tcPr>
          <w:p>
            <w:pPr>
              <w:spacing w:before="0" w:after="0" w:line="276" w:lineRule="auto"/>
            </w:pPr>
            <w:r>
              <w:rPr>
                <w:rFonts w:ascii="Aptos" w:hAnsi="Aptos"/>
                <w:b w:val="0"/>
                <w:i w:val="0"/>
                <w:color w:val="212121"/>
                <w:sz w:val="18"/>
              </w:rPr>
              <w:t>auf Klarheit achten</w:t>
            </w:r>
          </w:p>
        </w:tc>
      </w:tr>
    </w:tbl>
    <w:p>
      <w:pPr>
        <w:spacing w:after="120"/>
      </w:pPr>
    </w:p>
    <w:p>
      <w:pPr>
        <w:pStyle w:val="Heading1"/>
        <w:spacing w:before="200" w:after="80" w:line="252" w:lineRule="auto"/>
      </w:pPr>
      <w:r>
        <w:rPr>
          <w:rFonts w:ascii="Aptos" w:hAnsi="Aptos"/>
          <w:b/>
          <w:color w:val="5F2517"/>
          <w:sz w:val="31"/>
        </w:rPr>
        <w:t>Grenzfälle | Warnung</w:t>
      </w:r>
    </w:p>
    <w:p>
      <w:pPr>
        <w:pStyle w:val="ListBullet"/>
        <w:spacing w:after="40"/>
        <w:ind w:left="340"/>
      </w:pPr>
      <w:r>
        <w:rPr>
          <w:rFonts w:ascii="Aptos" w:hAnsi="Aptos"/>
          <w:b w:val="0"/>
          <w:i w:val="0"/>
          <w:color w:val="212121"/>
          <w:sz w:val="21"/>
        </w:rPr>
        <w:t>„Er ist ein Löwe.“ – Metapher, keine Metonymie.</w:t>
      </w:r>
    </w:p>
    <w:p>
      <w:pPr>
        <w:pStyle w:val="ListBullet"/>
        <w:spacing w:after="40"/>
        <w:ind w:left="340"/>
      </w:pPr>
      <w:r>
        <w:rPr>
          <w:rFonts w:ascii="Aptos" w:hAnsi="Aptos"/>
          <w:b w:val="0"/>
          <w:i w:val="0"/>
          <w:color w:val="212121"/>
          <w:sz w:val="21"/>
        </w:rPr>
        <w:t>„Ein Dach über dem Kopf.“ – eher Synekdoche als Metonymie.</w:t>
      </w:r>
    </w:p>
    <w:p>
      <w:pPr>
        <w:pStyle w:val="ListBullet"/>
        <w:spacing w:after="40"/>
        <w:ind w:left="340"/>
      </w:pPr>
      <w:r>
        <w:rPr>
          <w:rFonts w:ascii="Aptos" w:hAnsi="Aptos"/>
          <w:b w:val="0"/>
          <w:i w:val="0"/>
          <w:color w:val="212121"/>
          <w:sz w:val="21"/>
        </w:rPr>
        <w:t>„Nicht stark, sondern schwach.“ – Antithese, keine Metonymie.</w:t>
      </w:r>
    </w:p>
    <w:tbl>
      <w:tblPr>
        <w:tblW w:type="auto" w:w="0"/>
        <w:jc w:val="center"/>
        <w:tblLayout w:type="fixed"/>
        <w:tblLook w:firstColumn="1" w:firstRow="1" w:lastColumn="0" w:lastRow="0" w:noHBand="0" w:noVBand="1" w:val="04A0"/>
      </w:tblPr>
      <w:tblGrid>
        <w:gridCol w:w="8928"/>
      </w:tblGrid>
      <w:tr>
        <w:tc>
          <w:tcPr>
            <w:tcW w:type="dxa" w:w="9858"/>
            <w:shd w:fill="FFF7E8"/>
            <w:tcBorders>
              <w:left w:val="single" w:sz="10" w:color="C8B3A5"/>
              <w:top w:val="single" w:sz="10" w:color="C8B3A5"/>
              <w:right w:val="single" w:sz="10" w:color="C8B3A5"/>
              <w:bottom w:val="single" w:sz="10" w:color="C8B3A5"/>
            </w:tcBorders>
            <w:vAlign w:val="center"/>
          </w:tcPr>
          <w:p>
            <w:pPr>
              <w:spacing w:before="0" w:after="80" w:line="264" w:lineRule="auto"/>
            </w:pPr>
            <w:r>
              <w:rPr>
                <w:rFonts w:ascii="Aptos" w:hAnsi="Aptos"/>
                <w:b/>
                <w:color w:val="5F2517"/>
                <w:sz w:val="20"/>
              </w:rPr>
              <w:t>Prüffrage</w:t>
            </w:r>
          </w:p>
          <w:p>
            <w:pPr>
              <w:spacing w:before="0" w:after="0" w:line="288" w:lineRule="auto"/>
            </w:pPr>
            <w:r>
              <w:rPr>
                <w:rFonts w:ascii="Aptos" w:hAnsi="Aptos"/>
                <w:b w:val="0"/>
                <w:i w:val="0"/>
                <w:color w:val="212121"/>
                <w:sz w:val="21"/>
              </w:rPr>
              <w:t>Steht dieses Wort für das Gemeinte wegen realer Nähe – oder nur wegen Bildähnlichkeit?</w:t>
            </w:r>
          </w:p>
        </w:tc>
      </w:tr>
    </w:tbl>
    <w:p>
      <w:pPr>
        <w:spacing w:after="120"/>
      </w:pPr>
    </w:p>
    <w:p>
      <w:pPr>
        <w:pStyle w:val="Heading1"/>
        <w:spacing w:before="200" w:after="80" w:line="252" w:lineRule="auto"/>
      </w:pPr>
      <w:r>
        <w:rPr>
          <w:rFonts w:ascii="Aptos" w:hAnsi="Aptos"/>
          <w:b/>
          <w:color w:val="5F2517"/>
          <w:sz w:val="31"/>
        </w:rPr>
        <w:t>Bauanleitung | so baust du Metonymie in Predigten</w:t>
      </w:r>
    </w:p>
    <w:p>
      <w:pPr>
        <w:spacing w:before="0" w:after="60" w:line="276" w:lineRule="auto"/>
      </w:pPr>
      <w:r>
        <w:rPr>
          <w:rFonts w:ascii="Aptos" w:hAnsi="Aptos"/>
          <w:b/>
          <w:color w:val="5F2517"/>
          <w:sz w:val="21"/>
        </w:rPr>
        <w:t xml:space="preserve">1. </w:t>
      </w:r>
      <w:r>
        <w:rPr>
          <w:rFonts w:ascii="Aptos" w:hAnsi="Aptos"/>
          <w:color w:val="212121"/>
          <w:sz w:val="21"/>
        </w:rPr>
        <w:t>Bestimme zuerst die reale Beziehung: Ort, Symbol, Gefäß, Amt, Institution, Ursache, Wirkung, Besitzer oder Inhalt.</w:t>
      </w:r>
    </w:p>
    <w:p>
      <w:pPr>
        <w:spacing w:before="0" w:after="60" w:line="276" w:lineRule="auto"/>
      </w:pPr>
      <w:r>
        <w:rPr>
          <w:rFonts w:ascii="Aptos" w:hAnsi="Aptos"/>
          <w:b/>
          <w:color w:val="5F2517"/>
          <w:sz w:val="21"/>
        </w:rPr>
        <w:t xml:space="preserve">2. </w:t>
      </w:r>
      <w:r>
        <w:rPr>
          <w:rFonts w:ascii="Aptos" w:hAnsi="Aptos"/>
          <w:color w:val="212121"/>
          <w:sz w:val="21"/>
        </w:rPr>
        <w:t>Prüfe die Trennschärfe: Ist es wirkliche Nähe – oder doch Vergleich?</w:t>
      </w:r>
    </w:p>
    <w:p>
      <w:pPr>
        <w:spacing w:before="0" w:after="60" w:line="276" w:lineRule="auto"/>
      </w:pPr>
      <w:r>
        <w:rPr>
          <w:rFonts w:ascii="Aptos" w:hAnsi="Aptos"/>
          <w:b/>
          <w:color w:val="5F2517"/>
          <w:sz w:val="21"/>
        </w:rPr>
        <w:t xml:space="preserve">3. </w:t>
      </w:r>
      <w:r>
        <w:rPr>
          <w:rFonts w:ascii="Aptos" w:hAnsi="Aptos"/>
          <w:color w:val="212121"/>
          <w:sz w:val="21"/>
        </w:rPr>
        <w:t>Wähle das resonanzstärkere Wort. Nicht das neutrale, sondern das tragende Wort.</w:t>
      </w:r>
    </w:p>
    <w:p>
      <w:pPr>
        <w:spacing w:before="0" w:after="60" w:line="276" w:lineRule="auto"/>
      </w:pPr>
      <w:r>
        <w:rPr>
          <w:rFonts w:ascii="Aptos" w:hAnsi="Aptos"/>
          <w:b/>
          <w:color w:val="5F2517"/>
          <w:sz w:val="21"/>
        </w:rPr>
        <w:t xml:space="preserve">4. </w:t>
      </w:r>
      <w:r>
        <w:rPr>
          <w:rFonts w:ascii="Aptos" w:hAnsi="Aptos"/>
          <w:color w:val="212121"/>
          <w:sz w:val="21"/>
        </w:rPr>
        <w:t>Nutze Metonymie für Verdichtung: besonders in Leitsätzen, Einleitungen, prophetischen Wendungen und sakramentalen Passagen.</w:t>
      </w:r>
    </w:p>
    <w:p>
      <w:pPr>
        <w:spacing w:before="0" w:after="60" w:line="276" w:lineRule="auto"/>
      </w:pPr>
      <w:r>
        <w:rPr>
          <w:rFonts w:ascii="Aptos" w:hAnsi="Aptos"/>
          <w:b/>
          <w:color w:val="5F2517"/>
          <w:sz w:val="21"/>
        </w:rPr>
        <w:t xml:space="preserve">5. </w:t>
      </w:r>
      <w:r>
        <w:rPr>
          <w:rFonts w:ascii="Aptos" w:hAnsi="Aptos"/>
          <w:color w:val="212121"/>
          <w:sz w:val="21"/>
        </w:rPr>
        <w:t>Überlade die Figur nicht. Gute Metonymie ist klar, nicht rätselhaft.</w:t>
      </w:r>
    </w:p>
    <w:p>
      <w:pPr>
        <w:pStyle w:val="Heading1"/>
        <w:spacing w:before="200" w:after="80" w:line="252" w:lineRule="auto"/>
      </w:pPr>
      <w:r>
        <w:rPr>
          <w:rFonts w:ascii="Aptos" w:hAnsi="Aptos"/>
          <w:b/>
          <w:color w:val="5F2517"/>
          <w:sz w:val="31"/>
        </w:rPr>
        <w:t>Sprechschule</w:t>
      </w:r>
    </w:p>
    <w:p>
      <w:pPr>
        <w:pStyle w:val="ListBullet"/>
        <w:spacing w:after="40"/>
        <w:ind w:left="340"/>
      </w:pPr>
      <w:r>
        <w:rPr>
          <w:rFonts w:ascii="Aptos" w:hAnsi="Aptos"/>
          <w:b w:val="0"/>
          <w:i w:val="0"/>
          <w:color w:val="212121"/>
          <w:sz w:val="21"/>
        </w:rPr>
        <w:t>Das metonymische Schlüsselwort langsam und belastet sprechen: Kreuz. Kanzel. Tisch. Krone.</w:t>
      </w:r>
    </w:p>
    <w:p>
      <w:pPr>
        <w:pStyle w:val="ListBullet"/>
        <w:spacing w:after="40"/>
        <w:ind w:left="340"/>
      </w:pPr>
      <w:r>
        <w:rPr>
          <w:rFonts w:ascii="Aptos" w:hAnsi="Aptos"/>
          <w:b w:val="0"/>
          <w:i w:val="0"/>
          <w:color w:val="212121"/>
          <w:sz w:val="21"/>
        </w:rPr>
        <w:t>Vor und nach dem Schlüsselwort kleine Pause lassen.</w:t>
      </w:r>
    </w:p>
    <w:p>
      <w:pPr>
        <w:pStyle w:val="ListBullet"/>
        <w:spacing w:after="40"/>
        <w:ind w:left="340"/>
      </w:pPr>
      <w:r>
        <w:rPr>
          <w:rFonts w:ascii="Aptos" w:hAnsi="Aptos"/>
          <w:b w:val="0"/>
          <w:i w:val="0"/>
          <w:color w:val="212121"/>
          <w:sz w:val="21"/>
        </w:rPr>
        <w:t>Die Figur wirkt besonders stark, wenn das Publikum die kulturelle Last des Wortes sofort spürt.</w:t>
      </w:r>
    </w:p>
    <w:p>
      <w:pPr>
        <w:pStyle w:val="ListBullet"/>
        <w:spacing w:after="40"/>
        <w:ind w:left="340"/>
      </w:pPr>
      <w:r>
        <w:rPr>
          <w:rFonts w:ascii="Aptos" w:hAnsi="Aptos"/>
          <w:b w:val="0"/>
          <w:i w:val="0"/>
          <w:color w:val="212121"/>
          <w:sz w:val="21"/>
        </w:rPr>
        <w:t>Nicht alles erklären; aber genug Kontext geben, damit die Nähebeziehung verstanden wird.</w:t>
      </w:r>
    </w:p>
    <w:p>
      <w:pPr>
        <w:pStyle w:val="Heading1"/>
        <w:spacing w:before="200" w:after="80" w:line="252" w:lineRule="auto"/>
      </w:pPr>
      <w:r>
        <w:rPr>
          <w:rFonts w:ascii="Aptos" w:hAnsi="Aptos"/>
          <w:b/>
          <w:color w:val="5F2517"/>
          <w:sz w:val="31"/>
        </w:rPr>
        <w:t>Merksätze</w:t>
      </w:r>
    </w:p>
    <w:p>
      <w:pPr>
        <w:pStyle w:val="ListBullet"/>
        <w:spacing w:after="40"/>
        <w:ind w:left="340"/>
      </w:pPr>
      <w:r>
        <w:rPr>
          <w:rFonts w:ascii="Aptos" w:hAnsi="Aptos"/>
          <w:b w:val="0"/>
          <w:i w:val="0"/>
          <w:color w:val="212121"/>
          <w:sz w:val="21"/>
        </w:rPr>
        <w:t>Metonymie ist die Figur der sachlichen Nähe.</w:t>
      </w:r>
    </w:p>
    <w:p>
      <w:pPr>
        <w:pStyle w:val="ListBullet"/>
        <w:spacing w:after="40"/>
        <w:ind w:left="340"/>
      </w:pPr>
      <w:r>
        <w:rPr>
          <w:rFonts w:ascii="Aptos" w:hAnsi="Aptos"/>
          <w:b w:val="0"/>
          <w:i w:val="0"/>
          <w:color w:val="212121"/>
          <w:sz w:val="21"/>
        </w:rPr>
        <w:t>Nicht Vergleich, sondern Verbindung trägt sie.</w:t>
      </w:r>
    </w:p>
    <w:p>
      <w:pPr>
        <w:pStyle w:val="ListBullet"/>
        <w:spacing w:after="40"/>
        <w:ind w:left="340"/>
      </w:pPr>
      <w:r>
        <w:rPr>
          <w:rFonts w:ascii="Aptos" w:hAnsi="Aptos"/>
          <w:b w:val="0"/>
          <w:i w:val="0"/>
          <w:color w:val="212121"/>
          <w:sz w:val="21"/>
        </w:rPr>
        <w:t>Ein gutes metonymisches Wort spart nicht nur Worte, sondern bündelt Welten.</w:t>
      </w:r>
    </w:p>
    <w:p>
      <w:pPr>
        <w:pStyle w:val="ListBullet"/>
        <w:spacing w:after="40"/>
        <w:ind w:left="340"/>
      </w:pPr>
      <w:r>
        <w:rPr>
          <w:rFonts w:ascii="Aptos" w:hAnsi="Aptos"/>
          <w:b w:val="0"/>
          <w:i w:val="0"/>
          <w:color w:val="212121"/>
          <w:sz w:val="21"/>
        </w:rPr>
        <w:t>Wo Metonymie unklar wird, kippt sie ins Rätsel.</w:t>
      </w:r>
    </w:p>
    <w:p>
      <w:pPr>
        <w:pStyle w:val="ListBullet"/>
        <w:spacing w:after="40"/>
        <w:ind w:left="340"/>
      </w:pPr>
      <w:r>
        <w:rPr>
          <w:rFonts w:ascii="Aptos" w:hAnsi="Aptos"/>
          <w:b w:val="0"/>
          <w:i w:val="0"/>
          <w:color w:val="212121"/>
          <w:sz w:val="21"/>
        </w:rPr>
        <w:t>Was sich nicht sofort erschließen lässt, taugt selten für die Kanzel.</w:t>
      </w:r>
    </w:p>
    <w:p>
      <w:pPr>
        <w:pStyle w:val="Heading1"/>
        <w:spacing w:before="200" w:after="80" w:line="252" w:lineRule="auto"/>
      </w:pPr>
      <w:r>
        <w:rPr>
          <w:rFonts w:ascii="Aptos" w:hAnsi="Aptos"/>
          <w:b/>
          <w:color w:val="5F2517"/>
          <w:sz w:val="31"/>
        </w:rPr>
        <w:t>Editorische Notiz</w:t>
      </w:r>
    </w:p>
    <w:p>
      <w:pPr>
        <w:spacing w:before="0" w:after="100" w:line="283" w:lineRule="auto"/>
      </w:pPr>
      <w:r>
        <w:rPr>
          <w:rFonts w:ascii="Aptos" w:hAnsi="Aptos"/>
          <w:b w:val="0"/>
          <w:i w:val="0"/>
          <w:color w:val="212121"/>
          <w:sz w:val="21"/>
        </w:rPr>
        <w:t>Nebennamen werden nur beiläufig geführt. Für die Titellogik und den Korpus bleibt „Metonymie“ das Hauptlemma. Grundlage dieses Einlegers ist der beigefügte Lausberg-Scan zu §§ 565–571; die Synekdoche erscheint nur als Abgrenzungsfigur.</w:t>
      </w:r>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b w:val="0"/>
        <w:i w:val="0"/>
        <w:color w:val="606060"/>
        <w:sz w:val="17"/>
      </w:rPr>
      <w:t>Metonymie · A4-Werkstattfassung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Pr>
        <w:rFonts w:ascii="Aptos" w:hAnsi="Aptos"/>
        <w:b/>
        <w:i w:val="0"/>
        <w:color w:val="5F2517"/>
        <w:sz w:val="19"/>
      </w:rPr>
      <w:t>MEISTERREDNER | Stilmittel-Einleger | Tiefgang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lang w:val="de-DE" w:eastAsia="de-DE" w:bidi="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lang w:val="de-DE" w:eastAsia="de-DE" w:bidi="de-D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lang w:val="de-DE" w:eastAsia="de-DE" w:bidi="de-D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de-DE" w:eastAsia="de-DE" w:bidi="de-D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de-DE" w:eastAsia="de-DE" w:bidi="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de-DE" w:eastAsia="de-DE" w:bidi="de-D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