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el"/>
      </w:pPr>
      <w:r>
        <w:rPr>
          <w:color w:val="762131"/>
        </w:rPr>
        <w:t>Synekdoche</w:t>
      </w:r>
    </w:p>
    <w:p>
      <w:pPr>
        <w:pStyle w:val="Untertitel"/>
      </w:pPr>
      <w:r>
        <w:rPr>
          <w:color w:val="666666"/>
        </w:rPr>
        <w:t>Fundus Benjamin · Lausberg §§ 572–577 · klassische Muster · predigtfähige Verdichtungen · Baupläne für Predigten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8C8BC"/>
          <w:left w:val="single" w:sz="8" w:space="0" w:color="D8C8BC"/>
          <w:bottom w:val="single" w:sz="8" w:space="0" w:color="D8C8BC"/>
          <w:right w:val="single" w:sz="8" w:space="0" w:color="D8C8BC"/>
          <w:insideH w:val="single" w:sz="8" w:space="0" w:color="D8C8BC"/>
          <w:insideV w:val="single" w:sz="8" w:space="0" w:color="D8C8BC"/>
        </w:tblBorders>
        <w:tblLayout w:type="fixed"/>
      </w:tblPr>
      <w:tblGrid>
        <w:gridCol w:w="2438"/>
        <w:gridCol w:w="2438"/>
        <w:gridCol w:w="2438"/>
        <w:gridCol w:w="2438"/>
      </w:tblGrid>
      <w:tr>
        <w:tc>
          <w:tcPr>
            <w:tcW w:type="dxa" w:w="2670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b/>
                <w:color w:val="762131"/>
                <w:sz w:val="23"/>
              </w:rPr>
              <w:t>Griechisch</w:t>
            </w:r>
          </w:p>
        </w:tc>
        <w:tc>
          <w:tcPr>
            <w:tcW w:type="dxa" w:w="2670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b/>
                <w:color w:val="762131"/>
                <w:sz w:val="23"/>
              </w:rPr>
              <w:t>Latein</w:t>
            </w:r>
          </w:p>
        </w:tc>
        <w:tc>
          <w:tcPr>
            <w:tcW w:type="dxa" w:w="2670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b/>
                <w:color w:val="762131"/>
                <w:sz w:val="23"/>
              </w:rPr>
              <w:t>Formel</w:t>
            </w:r>
          </w:p>
        </w:tc>
        <w:tc>
          <w:tcPr>
            <w:tcW w:type="dxa" w:w="2670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b/>
                <w:color w:val="762131"/>
                <w:sz w:val="23"/>
              </w:rPr>
              <w:t>Kernwirkung</w:t>
            </w:r>
          </w:p>
        </w:tc>
      </w:tr>
      <w:tr>
        <w:tc>
          <w:tcPr>
            <w:tcW w:type="dxa" w:w="2670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sz w:val="21"/>
              </w:rPr>
              <w:t>συνεκδοχή</w:t>
            </w:r>
          </w:p>
        </w:tc>
        <w:tc>
          <w:tcPr>
            <w:tcW w:type="dxa" w:w="2670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sz w:val="21"/>
              </w:rPr>
              <w:t>synecdoche</w:t>
            </w:r>
          </w:p>
        </w:tc>
        <w:tc>
          <w:tcPr>
            <w:tcW w:type="dxa" w:w="2670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sz w:val="21"/>
              </w:rPr>
              <w:t>Teil/Ganzes</w:t>
              <w:br/>
              <w:t>Art/Gattung</w:t>
              <w:br/>
              <w:t>Einer/Viele</w:t>
            </w:r>
          </w:p>
        </w:tc>
        <w:tc>
          <w:tcPr>
            <w:tcW w:type="dxa" w:w="2670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sz w:val="21"/>
              </w:rPr>
              <w:t>Verdichtung · Anschaulichkeit ·</w:t>
              <w:br/>
              <w:t>Verkörperung · prägnante</w:t>
              <w:br/>
              <w:t>Benennung</w:t>
            </w:r>
          </w:p>
        </w:tc>
      </w:tr>
    </w:tbl>
    <w:p>
      <w:pPr/>
      <w:r>
        <w:t xml:space="preserve">Synekdoche bezeichnet nicht das Gemeinte direkt, sondern </w:t>
      </w:r>
      <w:r>
        <w:rPr>
          <w:b/>
        </w:rPr>
        <w:t>einen Teil, ein Ganzes, eine Klasse oder eine Zahlform davon</w:t>
      </w:r>
      <w:r>
        <w:t>. Sie verdichtet Sprache nicht durch Ähnlichkeit wie die Metapher, sondern durch Zugehörigkeit und Umfangsbeziehung.</w:t>
      </w:r>
    </w:p>
    <w:p>
      <w:pPr/>
      <w:r>
        <w:t xml:space="preserve">Darum ist sie für Predigten stark: </w:t>
      </w:r>
      <w:r>
        <w:rPr>
          <w:b/>
        </w:rPr>
        <w:t>Sie macht Begriffe körperlicher, hörbarer, greifbarer</w:t>
      </w:r>
      <w:r>
        <w:t>. Aus Menschen werden Gesichter, aus Gemeinde wird ein Dach, aus Hingabe werden Knie, Herzen, Hände.</w:t>
      </w:r>
    </w:p>
    <w:p>
      <w:pPr>
        <w:pStyle w:val="berschrift2"/>
      </w:pPr>
      <w:r>
        <w:rPr>
          <w:color w:val="99621A"/>
        </w:rPr>
        <w:t>Lausberg-nah | Definition, Strukturkern und Kernwirkung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8C8BC"/>
          <w:left w:val="single" w:sz="8" w:space="0" w:color="D8C8BC"/>
          <w:bottom w:val="single" w:sz="8" w:space="0" w:color="D8C8BC"/>
          <w:right w:val="single" w:sz="8" w:space="0" w:color="D8C8BC"/>
          <w:insideH w:val="single" w:sz="8" w:space="0" w:color="D8C8BC"/>
          <w:insideV w:val="single" w:sz="8" w:space="0" w:color="D8C8BC"/>
        </w:tblBorders>
        <w:tblLayout w:type="fixed"/>
      </w:tblPr>
      <w:tblGrid>
        <w:gridCol w:w="9751"/>
      </w:tblGrid>
      <w:tr>
        <w:tc>
          <w:tcPr>
            <w:tcW w:type="dxa" w:w="10682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100" w:line="264" w:lineRule="auto"/>
            </w:pPr>
            <w:r/>
            <w:r>
              <w:t>Im relevanten Lausberg-Abschnitt erscheint die Synekdoche als Figur des quantitativen bzw. klassifikatorischen Verhältnisses. Der Ausdruck steht nicht metaphorisch für etwas Ähnliches, sondern synekdochisch für etwas Zugehöriges.</w:t>
            </w:r>
          </w:p>
          <w:p>
            <w:pPr>
              <w:spacing w:after="100" w:line="264" w:lineRule="auto"/>
            </w:pPr>
            <w:r>
              <w:t>Der Strukturkern lässt sich im Arbeitsgebrauch auf drei Hauptachsen zuspitzen: Teil und Ganzes, Gattung und Art, Einer und Viele.</w:t>
            </w:r>
          </w:p>
          <w:p>
            <w:pPr>
              <w:spacing w:after="100" w:line="264" w:lineRule="auto"/>
            </w:pPr>
            <w:r>
              <w:rPr>
                <w:b/>
                <w:color w:val="762131"/>
              </w:rPr>
              <w:t>Merksatz: Synekdoche verdichtet durch Zugehörigkeit, nicht durch Ähnlichkeit.</w:t>
            </w:r>
          </w:p>
        </w:tc>
      </w:tr>
    </w:tbl>
    <w:p>
      <w:pPr>
        <w:pStyle w:val="berschrift2"/>
      </w:pPr>
      <w:r>
        <w:rPr>
          <w:color w:val="99621A"/>
        </w:rPr>
        <w:t>Präzise Definition | Arbeitsfassung für MEISTERREDNER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8C8BC"/>
          <w:left w:val="single" w:sz="8" w:space="0" w:color="D8C8BC"/>
          <w:bottom w:val="single" w:sz="8" w:space="0" w:color="D8C8BC"/>
          <w:right w:val="single" w:sz="8" w:space="0" w:color="D8C8BC"/>
          <w:insideH w:val="single" w:sz="8" w:space="0" w:color="D8C8BC"/>
          <w:insideV w:val="single" w:sz="8" w:space="0" w:color="D8C8BC"/>
        </w:tblBorders>
        <w:tblLayout w:type="fixed"/>
      </w:tblPr>
      <w:tblGrid>
        <w:gridCol w:w="9751"/>
      </w:tblGrid>
      <w:tr>
        <w:tc>
          <w:tcPr>
            <w:tcW w:type="dxa" w:w="10682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100" w:line="264" w:lineRule="auto"/>
            </w:pPr>
            <w:r/>
            <w:r>
              <w:t>Synekdoche ist die Benennung eines Gemeinten durch einen Ausdruck, der zu ihm in einer Zugehörigkeits-, Umfangs- oder Klassenrelation steht: pars pro toto, totum pro parte, species pro genere, genus pro specie, singularis pro plurali oder pluralis pro singulari.</w:t>
            </w:r>
          </w:p>
          <w:p>
            <w:pPr>
              <w:spacing w:after="100" w:line="264" w:lineRule="auto"/>
            </w:pPr>
            <w:r>
              <w:t>Einfach gesagt: Nicht das eigentlich Gemeinte wird direkt genannt, sondern ein Teil, ein größeres Ganzes, eine Klasse oder eine Zahlform davon.</w:t>
            </w:r>
          </w:p>
        </w:tc>
      </w:tr>
    </w:tbl>
    <w:p>
      <w:pPr>
        <w:pStyle w:val="berschrift2"/>
      </w:pPr>
      <w:r>
        <w:rPr>
          <w:color w:val="99621A"/>
        </w:rPr>
        <w:t>Originale | klassische Muster, Übersetzung, Funktionsnotiz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8C8BC"/>
          <w:left w:val="single" w:sz="8" w:space="0" w:color="D8C8BC"/>
          <w:bottom w:val="single" w:sz="8" w:space="0" w:color="D8C8BC"/>
          <w:right w:val="single" w:sz="8" w:space="0" w:color="D8C8BC"/>
          <w:insideH w:val="single" w:sz="8" w:space="0" w:color="D8C8BC"/>
          <w:insideV w:val="single" w:sz="8" w:space="0" w:color="D8C8BC"/>
        </w:tblBorders>
        <w:tblLayout w:type="fixed"/>
      </w:tblPr>
      <w:tblGrid>
        <w:gridCol w:w="2381"/>
        <w:gridCol w:w="7370"/>
      </w:tblGrid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Teil für Ganzes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tectum / tecta</w:t>
            </w:r>
          </w:p>
          <w:p>
            <w:pPr/>
            <w:r>
              <w:t>Dach / Dächer für Haus.</w:t>
            </w:r>
          </w:p>
          <w:p>
            <w:pPr>
              <w:pStyle w:val="SmallNote"/>
            </w:pPr>
            <w:r>
              <w:rPr>
                <w:color w:val="666666"/>
              </w:rPr>
              <w:t>Kernfall: Ein Teil benennt das Ganze.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Teil für Ganzes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parietes</w:t>
            </w:r>
          </w:p>
          <w:p>
            <w:pPr/>
            <w:r>
              <w:t>Wände für Gebäude / Haus.</w:t>
            </w:r>
          </w:p>
          <w:p>
            <w:pPr>
              <w:pStyle w:val="SmallNote"/>
            </w:pPr>
            <w:r>
              <w:rPr>
                <w:color w:val="666666"/>
              </w:rPr>
              <w:t>Gebäudeteil für das Gebäude.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Teil für Ganzes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puppis</w:t>
            </w:r>
          </w:p>
          <w:p>
            <w:pPr/>
            <w:r>
              <w:t>Heck für Schiff.</w:t>
            </w:r>
          </w:p>
          <w:p>
            <w:pPr>
              <w:pStyle w:val="SmallNote"/>
            </w:pPr>
            <w:r>
              <w:rPr>
                <w:color w:val="666666"/>
              </w:rPr>
              <w:t>Prominenter Teil für das ganze Schiff.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Ganzes für Teil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frigidus annus</w:t>
            </w:r>
          </w:p>
          <w:p>
            <w:pPr/>
            <w:r>
              <w:t>kaltes Jahr für Winter.</w:t>
            </w:r>
          </w:p>
          <w:p>
            <w:pPr>
              <w:pStyle w:val="SmallNote"/>
            </w:pPr>
            <w:r>
              <w:rPr>
                <w:color w:val="666666"/>
              </w:rPr>
              <w:t>Das Ganze benennt einen Teilbereich.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Teil für Ganzes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J’ignore le destin d’une tête si chère.</w:t>
            </w:r>
          </w:p>
          <w:p>
            <w:pPr/>
            <w:r>
              <w:t>Ich kenne das Schicksal eines so teuren Hauptes / einer so teuren Person nicht.</w:t>
            </w:r>
          </w:p>
          <w:p>
            <w:pPr>
              <w:pStyle w:val="SmallNote"/>
            </w:pPr>
            <w:r>
              <w:rPr>
                <w:color w:val="666666"/>
              </w:rPr>
              <w:t>Französisch; tête steht für die ganze Person.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Gattung für Art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quadrupedem</w:t>
            </w:r>
          </w:p>
          <w:p>
            <w:pPr/>
            <w:r>
              <w:t>Vierfüßler für Pferd.</w:t>
            </w:r>
          </w:p>
          <w:p>
            <w:pPr>
              <w:pStyle w:val="SmallNote"/>
            </w:pPr>
            <w:r>
              <w:rPr>
                <w:color w:val="666666"/>
              </w:rPr>
              <w:t>Klassenbezeichnung für die konkrete Art.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Rohstoff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ferrum</w:t>
            </w:r>
          </w:p>
          <w:p>
            <w:pPr/>
            <w:r>
              <w:t>Eisen für Schwert.</w:t>
            </w:r>
          </w:p>
          <w:p>
            <w:pPr>
              <w:pStyle w:val="SmallNote"/>
            </w:pPr>
            <w:r>
              <w:rPr>
                <w:color w:val="666666"/>
              </w:rPr>
              <w:t>Am Rand des Klassenfeldes; im Lausberg-Abschnitt synekdochisch mitgeführt.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Singular für Plural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Romanus</w:t>
            </w:r>
          </w:p>
          <w:p>
            <w:pPr/>
            <w:r>
              <w:t>der Römer für die Römer.</w:t>
            </w:r>
          </w:p>
          <w:p>
            <w:pPr>
              <w:pStyle w:val="SmallNote"/>
            </w:pPr>
            <w:r>
              <w:rPr>
                <w:color w:val="666666"/>
              </w:rPr>
              <w:t>Einer steht repräsentativ für viele.</w:t>
            </w:r>
          </w:p>
        </w:tc>
      </w:tr>
    </w:tbl>
    <w:p>
      <w:pPr>
        <w:pStyle w:val="berschrift2"/>
      </w:pPr>
      <w:r>
        <w:rPr>
          <w:color w:val="99621A"/>
        </w:rPr>
        <w:t>Abgrenzung | was Synekdoche ist und was nicht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8C8BC"/>
          <w:left w:val="single" w:sz="8" w:space="0" w:color="D8C8BC"/>
          <w:bottom w:val="single" w:sz="8" w:space="0" w:color="D8C8BC"/>
          <w:right w:val="single" w:sz="8" w:space="0" w:color="D8C8BC"/>
          <w:insideH w:val="single" w:sz="8" w:space="0" w:color="D8C8BC"/>
          <w:insideV w:val="single" w:sz="8" w:space="0" w:color="D8C8BC"/>
        </w:tblBorders>
        <w:tblLayout w:type="fixed"/>
      </w:tblPr>
      <w:tblGrid>
        <w:gridCol w:w="2381"/>
        <w:gridCol w:w="7370"/>
      </w:tblGrid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Metapher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Ähnlichkeit</w:t>
            </w:r>
          </w:p>
          <w:p>
            <w:pPr/>
            <w:r>
              <w:t>Die Metapher lebt davon, dass etwas wie etwas anderes erscheint.</w:t>
            </w:r>
          </w:p>
          <w:p>
            <w:pPr>
              <w:pStyle w:val="SmallNote"/>
            </w:pPr>
            <w:r>
              <w:rPr>
                <w:color w:val="666666"/>
              </w:rPr>
              <w:t>Synekdoche dagegen lebt von Zugehörigkeit.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Metonymie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Nachbarschaft / Beziehung</w:t>
            </w:r>
          </w:p>
          <w:p>
            <w:pPr/>
            <w:r>
              <w:t>Nicht jede Metonymie ist Synekdoche.</w:t>
            </w:r>
          </w:p>
          <w:p>
            <w:pPr>
              <w:pStyle w:val="SmallNote"/>
            </w:pPr>
            <w:r>
              <w:rPr>
                <w:color w:val="666666"/>
              </w:rPr>
              <w:t>Synekdoche ist der enger bestimmte Bereich der Umfangs- und Klassenrelation.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Pauschalisierung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bloße Verallgemeinerung</w:t>
            </w:r>
          </w:p>
          <w:p>
            <w:pPr/>
            <w:r>
              <w:t>Nicht jede Generalisierung ist schon eine Synekdoche.</w:t>
            </w:r>
          </w:p>
          <w:p>
            <w:pPr>
              <w:pStyle w:val="SmallNote"/>
            </w:pPr>
            <w:r>
              <w:rPr>
                <w:color w:val="666666"/>
              </w:rPr>
              <w:t>Erst die klare Stellvertretungsrelation macht die Figur sauber.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Grenzfall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abstrakt klingende Teile</w:t>
            </w:r>
          </w:p>
          <w:p>
            <w:pPr/>
            <w:r>
              <w:t>Nicht jedes Herz, jede Hand, jedes Gesicht ist automatisch synekdochisch.</w:t>
            </w:r>
          </w:p>
          <w:p>
            <w:pPr>
              <w:pStyle w:val="SmallNote"/>
            </w:pPr>
            <w:r>
              <w:rPr>
                <w:color w:val="666666"/>
              </w:rPr>
              <w:t>Erst wenn damit die ganze Person mitgemeint ist, liegt die Figur wirklich vor.</w:t>
            </w:r>
          </w:p>
        </w:tc>
      </w:tr>
    </w:tbl>
    <w:p>
      <w:pPr>
        <w:pStyle w:val="berschrift2"/>
      </w:pPr>
      <w:r>
        <w:rPr>
          <w:color w:val="99621A"/>
        </w:rPr>
        <w:t>Fundus Benjamin | geschärfte deutsche Beispiele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8C8BC"/>
          <w:left w:val="single" w:sz="8" w:space="0" w:color="D8C8BC"/>
          <w:bottom w:val="single" w:sz="8" w:space="0" w:color="D8C8BC"/>
          <w:right w:val="single" w:sz="8" w:space="0" w:color="D8C8BC"/>
          <w:insideH w:val="single" w:sz="8" w:space="0" w:color="D8C8BC"/>
          <w:insideV w:val="single" w:sz="8" w:space="0" w:color="D8C8BC"/>
        </w:tblBorders>
        <w:tblLayout w:type="fixed"/>
      </w:tblPr>
      <w:tblGrid>
        <w:gridCol w:w="2381"/>
        <w:gridCol w:w="7370"/>
      </w:tblGrid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Gemeinde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Unter diesem Dach sammelt Gott keine Masse, sondern Gesichter.</w:t>
            </w:r>
          </w:p>
          <w:p>
            <w:pPr/>
            <w:r>
              <w:t>Dach = Kirchenraum; Gesichter = Menschen.</w:t>
            </w:r>
          </w:p>
          <w:p>
            <w:pPr>
              <w:pStyle w:val="SmallNote"/>
            </w:pPr>
            <w:r>
              <w:rPr>
                <w:color w:val="666666"/>
              </w:rPr>
              <w:t>Zweifache synekdochische Verdichtung.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Berufung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Der Herr sucht nicht nur Hände für Aufgaben, sondern Herzen für seinen Ruf.</w:t>
            </w:r>
          </w:p>
          <w:p>
            <w:pPr/>
            <w:r>
              <w:t>Hände und Herzen stehen für den ganzen Menschen in seiner Aktivität und Hingabe.</w:t>
            </w:r>
          </w:p>
          <w:p>
            <w:pPr>
              <w:pStyle w:val="SmallNote"/>
            </w:pPr>
            <w:r>
              <w:rPr>
                <w:color w:val="666666"/>
              </w:rPr>
              <w:t>Predigtfähig, leicht memorierbar.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Buße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Wenn Knie fallen, sollen Leben folgen.</w:t>
            </w:r>
          </w:p>
          <w:p>
            <w:pPr/>
            <w:r>
              <w:t>Knie = Geste der Hingabe; Leben = ganzer Mensch in Konsequenz.</w:t>
            </w:r>
          </w:p>
          <w:p>
            <w:pPr>
              <w:pStyle w:val="SmallNote"/>
            </w:pPr>
            <w:r>
              <w:rPr>
                <w:color w:val="666666"/>
              </w:rPr>
              <w:t>Knappe Kanzelformel.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Seelsorge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Heute sitzen suchende Gesichter vor dem Wort.</w:t>
            </w:r>
          </w:p>
          <w:p>
            <w:pPr/>
            <w:r>
              <w:t>Gesichter stehen für Personen in ihrer existenziellen Offenheit.</w:t>
            </w:r>
          </w:p>
          <w:p>
            <w:pPr>
              <w:pStyle w:val="SmallNote"/>
            </w:pPr>
            <w:r>
              <w:rPr>
                <w:color w:val="666666"/>
              </w:rPr>
              <w:t>Wärmer als das abstrakte »Menschen«.</w:t>
            </w:r>
          </w:p>
        </w:tc>
      </w:tr>
    </w:tbl>
    <w:p>
      <w:pPr>
        <w:pStyle w:val="berschrift2"/>
      </w:pPr>
      <w:r>
        <w:rPr>
          <w:color w:val="99621A"/>
        </w:rPr>
        <w:t>Neuschöpfungen | predigtfähig, sprechbar, variabel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8C8BC"/>
          <w:left w:val="single" w:sz="8" w:space="0" w:color="D8C8BC"/>
          <w:bottom w:val="single" w:sz="8" w:space="0" w:color="D8C8BC"/>
          <w:right w:val="single" w:sz="8" w:space="0" w:color="D8C8BC"/>
          <w:insideH w:val="single" w:sz="8" w:space="0" w:color="D8C8BC"/>
          <w:insideV w:val="single" w:sz="8" w:space="0" w:color="D8C8BC"/>
        </w:tblBorders>
        <w:tblLayout w:type="fixed"/>
      </w:tblPr>
      <w:tblGrid>
        <w:gridCol w:w="2381"/>
        <w:gridCol w:w="7370"/>
      </w:tblGrid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Gemeinde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Aus diesen Bänken sollen nicht nur Körper aufstehen, sondern Zeugen.</w:t>
            </w:r>
          </w:p>
          <w:p>
            <w:pPr/>
            <w:r>
              <w:t>Körper für anwesende Menschen; Zeugen für gesandte, bekennende Christen.</w:t>
            </w:r>
          </w:p>
          <w:p>
            <w:pPr>
              <w:pStyle w:val="SmallNote"/>
            </w:pPr>
            <w:r>
              <w:rPr>
                <w:color w:val="666666"/>
              </w:rPr>
              <w:t>Synekdoche + Antithese.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Buße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Du rettest dein Gesicht und verlierst dabei dein Herz.</w:t>
            </w:r>
          </w:p>
          <w:p>
            <w:pPr/>
            <w:r>
              <w:t>Gesicht und Herz verdichten Scham, Außenschein und inneres Zentrum.</w:t>
            </w:r>
          </w:p>
          <w:p>
            <w:pPr>
              <w:pStyle w:val="SmallNote"/>
            </w:pPr>
            <w:r>
              <w:rPr>
                <w:color w:val="666666"/>
              </w:rPr>
              <w:t>Seelsorglich, knapp, klar.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Sendung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Ein Mund kann reden; ein Leben kann Christus bezeugen.</w:t>
            </w:r>
          </w:p>
          <w:p>
            <w:pPr/>
            <w:r>
              <w:t>Mund als Teilhandlung; Leben als ganze Existenz.</w:t>
            </w:r>
          </w:p>
          <w:p>
            <w:pPr>
              <w:pStyle w:val="SmallNote"/>
            </w:pPr>
            <w:r>
              <w:rPr>
                <w:color w:val="666666"/>
              </w:rPr>
              <w:t>Synekdochische Erweiterung mit Steigerung.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Passion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Ein Haupt unter Dornen - und doch der Herr der Herrlichkeit.</w:t>
            </w:r>
          </w:p>
          <w:p>
            <w:pPr/>
            <w:r>
              <w:t>Haupt für die ganze Person Jesu; zugleich Würdekontrast.</w:t>
            </w:r>
          </w:p>
          <w:p>
            <w:pPr>
              <w:pStyle w:val="SmallNote"/>
            </w:pPr>
            <w:r>
              <w:rPr>
                <w:color w:val="666666"/>
              </w:rPr>
              <w:t>Karfreitagsfähig, hochtonig.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Taufe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Nicht nur Stirnen werden nass - Namen werden gerufen.</w:t>
            </w:r>
          </w:p>
          <w:p>
            <w:pPr/>
            <w:r>
              <w:t>Stirn als Körperteil für den Getauften; Name für Person und Berufung.</w:t>
            </w:r>
          </w:p>
          <w:p>
            <w:pPr>
              <w:pStyle w:val="SmallNote"/>
            </w:pPr>
            <w:r>
              <w:rPr>
                <w:color w:val="666666"/>
              </w:rPr>
              <w:t>Taufrhetorisch stark.</w:t>
            </w:r>
          </w:p>
        </w:tc>
      </w:tr>
      <w:tr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762131"/>
                <w:sz w:val="21"/>
              </w:rPr>
              <w:t>Gemeindepraxis</w:t>
            </w:r>
          </w:p>
        </w:tc>
        <w:tc>
          <w:tcPr>
            <w:tcW w:type="dxa" w:w="5341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i/>
                <w:color w:val="762131"/>
                <w:sz w:val="21"/>
              </w:rPr>
              <w:t>Wir brauchen keine bloßen Hände mehr, sondern Menschen mit Herzen.</w:t>
            </w:r>
          </w:p>
          <w:p>
            <w:pPr/>
            <w:r>
              <w:t>Hände als Funktionsverkürzung, Menschen mit Herzen als korrigierende Ganzheit.</w:t>
            </w:r>
          </w:p>
          <w:p>
            <w:pPr>
              <w:pStyle w:val="SmallNote"/>
            </w:pPr>
            <w:r>
              <w:rPr>
                <w:color w:val="666666"/>
              </w:rPr>
              <w:t>Grenzbewusst gegen Aktivismus.</w:t>
            </w:r>
          </w:p>
        </w:tc>
      </w:tr>
    </w:tbl>
    <w:p>
      <w:pPr>
        <w:pStyle w:val="berschrift2"/>
      </w:pPr>
      <w:r>
        <w:rPr>
          <w:color w:val="99621A"/>
        </w:rPr>
        <w:t>Kombinationen und Grenzbewusstsein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8C8BC"/>
          <w:left w:val="single" w:sz="8" w:space="0" w:color="D8C8BC"/>
          <w:bottom w:val="single" w:sz="8" w:space="0" w:color="D8C8BC"/>
          <w:right w:val="single" w:sz="8" w:space="0" w:color="D8C8BC"/>
          <w:insideH w:val="single" w:sz="8" w:space="0" w:color="D8C8BC"/>
          <w:insideV w:val="single" w:sz="8" w:space="0" w:color="D8C8BC"/>
        </w:tblBorders>
        <w:tblLayout w:type="fixed"/>
      </w:tblPr>
      <w:tblGrid>
        <w:gridCol w:w="9751"/>
      </w:tblGrid>
      <w:tr>
        <w:tc>
          <w:tcPr>
            <w:tcW w:type="dxa" w:w="10682"/>
            <w:shd w:fill="FBF8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100" w:line="264" w:lineRule="auto"/>
            </w:pPr>
            <w:r/>
            <w:r>
              <w:t>Synekdoche verbindet sich gut mit Antithese, Correctio, Klimax und sentenzenhaften Formeln. Gerade im Predigtstil wird sie dann stark, wenn der Teilbegriff nicht dekorativ bleibt, sondern das Ganze wirklich trägt.</w:t>
            </w:r>
          </w:p>
          <w:p>
            <w:pPr>
              <w:spacing w:after="100" w:line="264" w:lineRule="auto"/>
            </w:pPr>
            <w:r>
              <w:t>Beispiel: Nicht nur Knie sollen fallen - das Herz soll fallen. Beispiel: Gott sucht Hände, ja - aber Hände mit Herzen. Beispiel: Ein Mund kann reden; ein Leben kann bezeugen.</w:t>
            </w:r>
          </w:p>
          <w:p>
            <w:pPr>
              <w:spacing w:after="100" w:line="264" w:lineRule="auto"/>
            </w:pPr>
            <w:r>
              <w:rPr>
                <w:b/>
                <w:color w:val="762131"/>
              </w:rPr>
              <w:t>Warnung: Wo der Teilbegriff nur Schmuck ist oder die Stellvertretung unscharf bleibt, kippt die Figur in bloße Bildrede oder Allgemeinsprache.</w:t>
            </w:r>
          </w:p>
        </w:tc>
      </w:tr>
    </w:tbl>
    <w:p>
      <w:pPr>
        <w:pStyle w:val="berschrift2"/>
      </w:pPr>
      <w:r>
        <w:rPr>
          <w:color w:val="99621A"/>
        </w:rPr>
        <w:t>Bauanleitung | wie du Synekdoche für Predigten baust</w:t>
      </w:r>
    </w:p>
    <w:p>
      <w:pPr>
        <w:pStyle w:val="Aufzhlungszeichen"/>
        <w:ind w:left="312" w:hanging="170"/>
      </w:pPr>
      <w:r>
        <w:t>Bestimme zuerst das eigentlich Gemeinte: Mensch, Gemeinde, Haus, Volk, Hingabe, Nachfolge.</w:t>
      </w:r>
    </w:p>
    <w:p>
      <w:pPr>
        <w:pStyle w:val="Aufzhlungszeichen"/>
        <w:ind w:left="312" w:hanging="170"/>
      </w:pPr>
      <w:r>
        <w:t>Suche dann einen Teil, ein Ganzes, eine Klassenbezeichnung oder eine Zahlform, die dieses Gemeinte tragfähig vertritt.</w:t>
      </w:r>
    </w:p>
    <w:p>
      <w:pPr>
        <w:pStyle w:val="Aufzhlungszeichen"/>
        <w:ind w:left="312" w:hanging="170"/>
      </w:pPr>
      <w:r>
        <w:t>Prüfe die Relation: Zugehörigkeit, Umfang oder Klasse - nicht Ähnlichkeit.</w:t>
      </w:r>
    </w:p>
    <w:p>
      <w:pPr>
        <w:pStyle w:val="Aufzhlungszeichen"/>
        <w:ind w:left="312" w:hanging="170"/>
      </w:pPr>
      <w:r>
        <w:t>Setze die Figur knapp; Synekdoche lebt meist von Kürze und Prägnanz.</w:t>
      </w:r>
    </w:p>
    <w:p>
      <w:pPr>
        <w:pStyle w:val="Aufzhlungszeichen"/>
        <w:ind w:left="312" w:hanging="170"/>
      </w:pPr>
      <w:r>
        <w:t>Sprich den Satz laut. Wenn er konkretisiert und verdichtet, funktioniert er. Wenn er nur verkürzt oder gekünstelt klingt, stimmt die Figur noch nicht.</w:t>
      </w:r>
    </w:p>
    <w:p>
      <w:pPr>
        <w:pStyle w:val="berschrift2"/>
      </w:pPr>
      <w:r>
        <w:rPr>
          <w:color w:val="99621A"/>
        </w:rPr>
        <w:t>Sprechschule | Rhythmus, Attitüde, Kanzelgang</w:t>
      </w:r>
    </w:p>
    <w:p>
      <w:pPr>
        <w:pStyle w:val="Aufzhlungszeichen"/>
        <w:ind w:left="312" w:hanging="170"/>
      </w:pPr>
      <w:r>
        <w:t>Körperbegriffe wie Herz, Hand, Knie, Gesicht oder Mund deutlich und mit leichtem Nachdruck sprechen.</w:t>
      </w:r>
    </w:p>
    <w:p>
      <w:pPr>
        <w:pStyle w:val="Aufzhlungszeichen"/>
        <w:ind w:left="312" w:hanging="170"/>
      </w:pPr>
      <w:r>
        <w:t>Bei Synekdoche nicht zu viele Bilder häufen; ein treffender Teil kann stärker sein als fünf schwache.</w:t>
      </w:r>
    </w:p>
    <w:p>
      <w:pPr>
        <w:pStyle w:val="Aufzhlungszeichen"/>
        <w:ind w:left="312" w:hanging="170"/>
      </w:pPr>
      <w:r>
        <w:t>Die Figur wirkt besonders gut in Ruf, Warnung, Buße, seelsorglicher Nähe und liturgischer Verdichtung.</w:t>
      </w:r>
    </w:p>
    <w:p>
      <w:pPr>
        <w:pStyle w:val="Aufzhlungszeichen"/>
        <w:ind w:left="312" w:hanging="170"/>
      </w:pPr>
      <w:r>
        <w:t>Das Ganze darf im Hörer mitschwingen; man muss es nicht immer explizit nachschieben.</w:t>
      </w:r>
    </w:p>
    <w:p>
      <w:pPr>
        <w:pStyle w:val="berschrift2"/>
      </w:pPr>
      <w:r>
        <w:rPr>
          <w:color w:val="99621A"/>
        </w:rPr>
        <w:t>Merksätze | zum Auswendiglernen</w:t>
      </w:r>
    </w:p>
    <w:p>
      <w:pPr/>
      <w:r>
        <w:rPr>
          <w:b/>
          <w:color w:val="762131"/>
        </w:rPr>
        <w:t>Synekdoche verdichtet durch Zugehörigkeit, nicht durch Ähnlichkeit.</w:t>
      </w:r>
    </w:p>
    <w:p>
      <w:pPr/>
      <w:r>
        <w:rPr>
          <w:b/>
          <w:color w:val="762131"/>
        </w:rPr>
        <w:t>Nicht jedes konkrete Wort ist Synekdoche; erst die Stellvertretungsrelation macht die Figur.</w:t>
      </w:r>
    </w:p>
    <w:p>
      <w:pPr/>
      <w:r>
        <w:rPr>
          <w:b/>
          <w:color w:val="762131"/>
        </w:rPr>
        <w:t>Wo ein Teil das Ganze trägt, beginnt die Kraft der Synekdoche.</w:t>
      </w:r>
    </w:p>
    <w:p>
      <w:pPr/>
      <w:r>
        <w:rPr>
          <w:b/>
          <w:color w:val="762131"/>
        </w:rPr>
        <w:t>Der Singular kann poetisch schärfen; der Plural kann Wucht geben.</w:t>
      </w:r>
    </w:p>
    <w:sectPr w:rsidR="00CD2B94" w:rsidSect="00034616">
      <w:headerReference w:type="default" r:id="rId8"/>
      <w:footerReference w:type="default" r:id="rId9"/>
      <w:pgSz w:w="11906" w:h="16838"/>
      <w:pgMar w:top="646" w:right="612" w:bottom="578" w:left="61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9AFAD" w14:textId="77777777" w:rsidR="0084437F" w:rsidRDefault="0084437F">
      <w:pPr>
        <w:spacing w:after="0" w:line="240" w:lineRule="auto"/>
      </w:pPr>
      <w:r>
        <w:separator/>
      </w:r>
    </w:p>
  </w:endnote>
  <w:endnote w:type="continuationSeparator" w:id="0">
    <w:p w14:paraId="31F42B65" w14:textId="77777777" w:rsidR="0084437F" w:rsidRDefault="00844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C669" w14:textId="77777777" w:rsidR="00CD2B94" w:rsidRDefault="00000000">
    <w:pPr>
      <w:pStyle w:val="Fuzeile"/>
      <w:jc w:val="center"/>
    </w:pPr>
    <w:r>
      <w:rPr>
        <w:color w:val="5C5C5C"/>
        <w:sz w:val="16"/>
      </w:rPr>
      <w:t>MEISTERREDNER | Stilmittel-Einleger Tiefgang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7E70" w14:textId="77777777" w:rsidR="0084437F" w:rsidRDefault="0084437F">
      <w:pPr>
        <w:spacing w:after="0" w:line="240" w:lineRule="auto"/>
      </w:pPr>
      <w:r>
        <w:separator/>
      </w:r>
    </w:p>
  </w:footnote>
  <w:footnote w:type="continuationSeparator" w:id="0">
    <w:p w14:paraId="74ADB275" w14:textId="77777777" w:rsidR="0084437F" w:rsidRDefault="00844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0B38" w14:textId="77777777" w:rsidR="00CD2B94" w:rsidRDefault="00000000">
    <w:pPr>
      <w:pStyle w:val="Kopfzeile"/>
      <w:jc w:val="right"/>
    </w:pPr>
    <w:r>
      <w:rPr>
        <w:color w:val="5C5C5C"/>
        <w:sz w:val="16"/>
      </w:rPr>
      <w:t>MEISTERREDNER | Stilmittel-Einleger | Tiefgang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60121">
    <w:abstractNumId w:val="8"/>
  </w:num>
  <w:num w:numId="2" w16cid:durableId="1282343020">
    <w:abstractNumId w:val="6"/>
  </w:num>
  <w:num w:numId="3" w16cid:durableId="1143162945">
    <w:abstractNumId w:val="5"/>
  </w:num>
  <w:num w:numId="4" w16cid:durableId="2110539056">
    <w:abstractNumId w:val="4"/>
  </w:num>
  <w:num w:numId="5" w16cid:durableId="1129544683">
    <w:abstractNumId w:val="7"/>
  </w:num>
  <w:num w:numId="6" w16cid:durableId="298926719">
    <w:abstractNumId w:val="3"/>
  </w:num>
  <w:num w:numId="7" w16cid:durableId="1468279639">
    <w:abstractNumId w:val="2"/>
  </w:num>
  <w:num w:numId="8" w16cid:durableId="1411124931">
    <w:abstractNumId w:val="1"/>
  </w:num>
  <w:num w:numId="9" w16cid:durableId="153106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493"/>
    <w:rsid w:val="0056034E"/>
    <w:rsid w:val="0084437F"/>
    <w:rsid w:val="008B04FA"/>
    <w:rsid w:val="00AA1D8D"/>
    <w:rsid w:val="00B47730"/>
    <w:rsid w:val="00CB0664"/>
    <w:rsid w:val="00CD19D7"/>
    <w:rsid w:val="00CD2B94"/>
    <w:rsid w:val="00E10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4B704B"/>
  <w14:defaultImageDpi w14:val="300"/>
  <w15:docId w15:val="{A91BB77B-898B-4A35-983F-02330EC6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69" w:lineRule="auto"/>
    </w:pPr>
    <w:rPr>
      <w:rFonts w:ascii="Aptos" w:hAnsi="Aptos"/>
      <w:color w:val="1F1F1F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5A1820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784C22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5A1820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C5C5C"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Standard"/>
    <w:pPr>
      <w:spacing w:after="60" w:line="259" w:lineRule="auto"/>
    </w:pPr>
    <w:rPr>
      <w:color w:val="5C5C5C"/>
      <w:sz w:val="18"/>
    </w:rPr>
  </w:style>
  <w:style w:type="paragraph" w:customStyle="1" w:styleId="QuoteBox">
    <w:name w:val="QuoteBox"/>
    <w:basedOn w:val="Standard"/>
    <w:pPr>
      <w:spacing w:line="264" w:lineRule="auto"/>
      <w:ind w:left="170" w:right="113"/>
    </w:pPr>
  </w:style>
  <w:style w:type="paragraph" w:styleId="StandardWeb">
    <w:name w:val="Normal (Web)"/>
    <w:basedOn w:val="Standard"/>
    <w:uiPriority w:val="99"/>
    <w:semiHidden/>
    <w:unhideWhenUsed/>
    <w:rsid w:val="008B0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5296</Words>
  <Characters>33369</Characters>
  <Application>Microsoft Office Word</Application>
  <DocSecurity>0</DocSecurity>
  <Lines>278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Graf</cp:lastModifiedBy>
  <cp:revision>3</cp:revision>
  <cp:lastPrinted>2026-04-06T20:17:00Z</cp:lastPrinted>
  <dcterms:created xsi:type="dcterms:W3CDTF">2013-12-23T23:15:00Z</dcterms:created>
  <dcterms:modified xsi:type="dcterms:W3CDTF">2026-04-06T20:17:00Z</dcterms:modified>
  <cp:category/>
</cp:coreProperties>
</file>