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514350" cy="514350"/>
            <wp:effectExtent t="0" r="0" b="0" l="0"/>
            <wp:docPr id="1" name="logo" descr="logo" title="Voya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0F2A4A"/>
          <w:sz w:val="30"/>
          <w:szCs w:val="30"/>
        </w:rPr>
        <w:t xml:space="preserve">  VoyaMetrics</w:t>
      </w:r>
    </w:p>
    <w:p>
      <w:pPr>
        <w:pBdr>
          <w:bottom w:val="single" w:color="0E9C8E" w:sz="8" w:space="6"/>
        </w:pBd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Osiris Viagens e Turismo · Departamento Corporate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F2A4A"/>
          <w:sz w:val="32"/>
          <w:szCs w:val="32"/>
        </w:rPr>
        <w:t xml:space="preserve">Relatório Mensal de Desempenho de Serviço (SLA)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Cliente</w:t>
            </w:r>
          </w:p>
        </w:tc>
        <w:tc>
          <w:tcPr>
            <w:tcW w:type="dxa" w:w="64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[NOME_DO_CLIENTE]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Período de Análise</w:t>
            </w:r>
          </w:p>
        </w:tc>
        <w:tc>
          <w:tcPr>
            <w:tcW w:type="dxa" w:w="64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[MÊS/ANO]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Responsável pela Conta</w:t>
            </w:r>
          </w:p>
        </w:tc>
        <w:tc>
          <w:tcPr>
            <w:tcW w:type="dxa" w:w="64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[NOME_DO_GESTOR]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4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[DATA_ATUAL]</w:t>
            </w:r>
          </w:p>
        </w:tc>
      </w:tr>
    </w:tbl>
    <w:p>
      <w:pPr>
        <w:spacing w:after="80" w:before="0"/>
      </w:pPr>
      <w:r>
        <w:rPr>
          <w:sz w:val="8"/>
          <w:szCs w:val="8"/>
        </w:rPr>
        <w:t xml:space="preserve"/>
      </w:r>
    </w:p>
    <w:p>
      <w:pPr>
        <w:pBdr>
          <w:left w:val="single" w:color="0E9C8E" w:sz="18" w:space="8"/>
        </w:pBdr>
        <w:shd w:fill="EEF2FF" w:val="clear"/>
        <w:spacing w:after="160" w:before="60"/>
      </w:pPr>
      <w:r>
        <w:rPr>
          <w:rFonts w:ascii="Arial" w:cs="Arial" w:eastAsia="Arial" w:hAnsi="Arial"/>
          <w:b/>
          <w:bCs/>
          <w:color w:val="0F2A4A"/>
          <w:sz w:val="18"/>
          <w:szCs w:val="18"/>
        </w:rPr>
        <w:t xml:space="preserve">Como preencher: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os campos marcados </w:t>
      </w:r>
      <w:r>
        <w:rPr>
          <w:rFonts w:ascii="Arial" w:cs="Arial" w:eastAsia="Arial" w:hAnsi="Arial"/>
          <w:b/>
          <w:bCs/>
          <w:color w:val="0E9C8E"/>
          <w:sz w:val="18"/>
          <w:szCs w:val="18"/>
        </w:rPr>
        <w:t xml:space="preserve">(auto)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são fornecidos pelo sistema (separador Relatórios → filtrar por cliente). Os marcados 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(manual)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 preenchem-se à mão (dados de viagem/CSAT ainda não recolhidos pelo sistema).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2A4A"/>
          <w:sz w:val="24"/>
          <w:szCs w:val="24"/>
        </w:rPr>
        <w:t xml:space="preserve">1. Resumo Executivo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Durante o mês de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[MÊS]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a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[NOME_DA_SUA_AGÊNCIA]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geriu um total de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[TOTAL_VIAGENS] viagens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[TOTAL_PASSAGEIROS] passageiros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 O nível geral de cumprimento dos prazos acordados (SLA) foi de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[PERCENTAGEM_GERAL_SLA]%</w:t>
      </w:r>
      <w:r>
        <w:rPr>
          <w:rFonts w:ascii="Arial" w:cs="Arial" w:eastAsia="Arial" w:hAnsi="Arial"/>
          <w:b/>
          <w:bCs/>
          <w:color w:val="0E9C8E"/>
          <w:sz w:val="18"/>
          <w:szCs w:val="18"/>
        </w:rPr>
        <w:t xml:space="preserve"> (auto)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face à meta contratual de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[META_CONTRATUAL]%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2A4A"/>
          <w:sz w:val="24"/>
          <w:szCs w:val="24"/>
        </w:rPr>
        <w:t xml:space="preserve">2. Indicadores de Desempenho (KPIs)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Desempenho da equipa de suporte e consultoria face aos prazos acordados por canal: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638"/>
      </w:tblGrid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Canal / Tipo de Pedido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SLA Acordado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Tempo Médio Obtido</w:t>
            </w:r>
          </w:p>
        </w:tc>
        <w:tc>
          <w:tcPr>
            <w:tcW w:type="dxa" w:w="16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E6F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0"/>
                <w:szCs w:val="20"/>
              </w:rPr>
              <w:t xml:space="preserve">Nível de Cumprimento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Emergências em Viagem (24/7)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Resposta &lt; 15 min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[TEMPO_RESP_EMERGENCIA]</w:t>
            </w:r>
          </w:p>
        </w:tc>
        <w:tc>
          <w:tcPr>
            <w:tcW w:type="dxa" w:w="16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[PERC_SLA_EMERGENCIA]%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Alterações de Reservas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Resposta &lt; 2 horas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[TEMPO_RESP_ALTERACAO]</w:t>
            </w:r>
          </w:p>
        </w:tc>
        <w:tc>
          <w:tcPr>
            <w:tcW w:type="dxa" w:w="16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[PERC_SLA_ALTERACAO]%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Novos Orçamentos / Cotações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Envio &lt; 24 horas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[TEMPO_ENVIO_COTACAO]</w:t>
            </w:r>
          </w:p>
        </w:tc>
        <w:tc>
          <w:tcPr>
            <w:tcW w:type="dxa" w:w="16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[PERC_SLA_COTACAO]%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Reclamações / Reembolsos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Resolução &lt; 5 dias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[TEMPO_RESOL_RECLAMACAO]</w:t>
            </w:r>
          </w:p>
        </w:tc>
        <w:tc>
          <w:tcPr>
            <w:tcW w:type="dxa" w:w="1638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[PERC_SLA_RECLAMACAO]%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Nota: a tabela enche automaticamente quando os canais com SLA próprio (Emergências/Alterações/Cotações/Reclamações) estiverem configurados no sistema (fase seguinte). Hoje os valores são 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(manual)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2A4A"/>
          <w:sz w:val="24"/>
          <w:szCs w:val="24"/>
        </w:rPr>
        <w:t xml:space="preserve">3. Atividade e Volume do Mês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Pedidos de Orçamento Recebidos: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[QTD_ORÇAMENTOS]</w:t>
      </w:r>
      <w:r>
        <w:rPr>
          <w:rFonts w:ascii="Arial" w:cs="Arial" w:eastAsia="Arial" w:hAnsi="Arial"/>
          <w:b/>
          <w:bCs/>
          <w:color w:val="0E9C8E"/>
          <w:sz w:val="18"/>
          <w:szCs w:val="18"/>
        </w:rPr>
        <w:t xml:space="preserve"> (auto)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Bilhetes / Vouchers Emitidos: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[QTD_EMISSÕES]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Taxa de Precisão na Emissão: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[PERC_PRECISÃO_EMISSÃO]%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(erros de grafia ou datas)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Casos de Emergência Atendidos: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[QTD_EMERGÊNCIAS]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2A4A"/>
          <w:sz w:val="24"/>
          <w:szCs w:val="24"/>
        </w:rPr>
        <w:t xml:space="preserve">4. Gestão de Incidentes Críticos e Exceções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Secção para falhas provocadas por terceiros ou quebras de SLA por força maior.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Incidente: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[ex.: greve de controladores aéreos a DD/MM]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Impacto: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[ex.: 3 passageiros retidos no aeroporto de Madrid]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Ação da Agência: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[ex.: reacomodação em voo alternativo em 1h45 e proteção em hotel]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Impacto no SLA: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[ex.: força maior — não contabilizado como falha]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2A4A"/>
          <w:sz w:val="24"/>
          <w:szCs w:val="24"/>
        </w:rPr>
        <w:t xml:space="preserve">5. Satisfação do Cliente (CSAT)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Questionário de satisfação enviado aos passageiros após cada viagem.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Taxa de Resposta: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[TAXA_RESPOSTA_CSAT]%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Nota Média de Satisfação: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[NOTA_CSAT] / 5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(manual)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2A4A"/>
          <w:sz w:val="24"/>
          <w:szCs w:val="24"/>
        </w:rPr>
        <w:t xml:space="preserve">6. Próximos Passos e Otimizações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[ex.: implementar a integração de faturação automática para reduzir o tempo de reembolso]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[ex.: reforçar a equipa de escala noturna para os períodos de pico de verão]</w:t>
      </w:r>
    </w:p>
    <w:p>
      <w:pPr>
        <w:pBdr>
          <w:top w:val="single" w:color="D9DEE7" w:sz="4" w:space="8"/>
        </w:pBdr>
        <w:spacing w:before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Relatório gerado pelo sistema de gestão de qualidade VoyaMetrics. Para esclarecimentos, contacte o seu gestor de conta.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VoyaMetrics · Central de Tickets — relatório de SLA · Confidencial ·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72abd24850a68f1262e1c5a3478ecd5e49e30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2026-06-21T20:17:55.966Z</dcterms:created>
  <dcterms:modified xsi:type="dcterms:W3CDTF">2026-06-21T20:17:55.966Z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