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right"/>
        <w:rPr>
          <w:lang w:val="it-IT"/>
        </w:rPr>
      </w:pPr>
      <w:r>
        <w:rPr>
          <w:rFonts w:cs="Arial" w:ascii="Arial" w:hAnsi="Arial"/>
          <w:b/>
          <w:i/>
          <w:sz w:val="28"/>
          <w:lang w:val="it-IT"/>
        </w:rPr>
        <w:t xml:space="preserve">Allegato </w:t>
      </w:r>
      <w:r>
        <w:rPr>
          <w:rFonts w:cs="Arial" w:ascii="Arial" w:hAnsi="Arial"/>
          <w:b/>
          <w:sz w:val="28"/>
          <w:lang w:val="it-IT"/>
        </w:rPr>
        <w:t>A</w:t>
      </w:r>
    </w:p>
    <w:p>
      <w:pPr>
        <w:pStyle w:val="TextBody"/>
        <w:jc w:val="right"/>
        <w:rPr>
          <w:lang w:val="it-IT"/>
        </w:rPr>
      </w:pPr>
      <w:r>
        <w:rPr>
          <w:lang w:val="it-IT"/>
        </w:rPr>
      </w:r>
    </w:p>
    <w:p>
      <w:pPr>
        <w:pStyle w:val="TextBody"/>
        <w:rPr>
          <w:sz w:val="26"/>
          <w:lang w:val="it-IT"/>
        </w:rPr>
      </w:pPr>
      <w:r>
        <w:rPr>
          <w:sz w:val="26"/>
          <w:lang w:val="it-IT"/>
        </w:rPr>
      </w:r>
    </w:p>
    <w:p>
      <w:pPr>
        <w:pStyle w:val="Title"/>
        <w:spacing w:before="0" w:after="0"/>
        <w:ind w:left="0" w:right="0" w:hanging="0"/>
        <w:rPr>
          <w:lang w:val="it-IT"/>
        </w:rPr>
      </w:pPr>
      <w:r>
        <w:rPr>
          <w:lang w:val="it-IT"/>
        </w:rPr>
        <w:t>Prodotti e Titoli scelti</w:t>
      </w:r>
    </w:p>
    <w:p>
      <w:pPr>
        <w:pStyle w:val="Normal"/>
        <w:jc w:val="center"/>
        <w:rPr>
          <w:lang w:val="it-IT"/>
        </w:rPr>
      </w:pPr>
      <w:r>
        <w:rPr>
          <w:rFonts w:cs="Arial" w:ascii="Arial" w:hAnsi="Arial"/>
          <w:b/>
          <w:sz w:val="28"/>
          <w:lang w:val="it-IT"/>
        </w:rPr>
        <w:t>Ricercatore III livello</w:t>
      </w:r>
    </w:p>
    <w:p>
      <w:pPr>
        <w:pStyle w:val="TextBody"/>
        <w:rPr>
          <w:sz w:val="35"/>
          <w:lang w:val="it-IT"/>
        </w:rPr>
      </w:pPr>
      <w:r>
        <w:rPr>
          <w:sz w:val="35"/>
          <w:lang w:val="it-IT"/>
        </w:rPr>
      </w:r>
    </w:p>
    <w:p>
      <w:pPr>
        <w:pStyle w:val="Normal"/>
        <w:rPr>
          <w:lang w:val="it-IT"/>
        </w:rPr>
      </w:pPr>
      <w:r>
        <w:rPr>
          <w:rFonts w:cs="Arial" w:ascii="Arial" w:hAnsi="Arial"/>
          <w:b/>
          <w:color w:val="444646"/>
          <w:sz w:val="20"/>
          <w:u w:val="thick" w:color="444646"/>
          <w:lang w:val="it-IT"/>
        </w:rPr>
        <w:t>Motiva la tua scelta</w:t>
      </w:r>
      <w:r>
        <w:rPr>
          <w:rFonts w:cs="Arial" w:ascii="Arial" w:hAnsi="Arial"/>
          <w:b/>
          <w:color w:val="444646"/>
          <w:sz w:val="20"/>
          <w:lang w:val="it-IT"/>
        </w:rPr>
        <w:t xml:space="preserve"> </w:t>
      </w:r>
      <w:r>
        <w:rPr>
          <w:rFonts w:cs="Arial" w:ascii="Arial" w:hAnsi="Arial"/>
          <w:color w:val="444646"/>
          <w:sz w:val="20"/>
          <w:lang w:val="it-IT"/>
        </w:rPr>
        <w:t>(massimo 1500 caratteri, spazi inclusi)</w:t>
      </w:r>
    </w:p>
    <w:p>
      <w:pPr>
        <w:pStyle w:val="Normal"/>
        <w:rPr>
          <w:rFonts w:ascii="Arial" w:hAnsi="Arial" w:cs="Arial"/>
          <w:sz w:val="23"/>
          <w:lang w:val="it-IT"/>
        </w:rPr>
      </w:pPr>
      <w:r>
        <w:rPr>
          <w:rFonts w:cs="Arial" w:ascii="Arial" w:hAnsi="Arial"/>
          <w:sz w:val="23"/>
          <w:lang w:val="it-IT"/>
        </w:rPr>
      </w:r>
    </w:p>
    <w:p>
      <w:pPr>
        <w:pStyle w:val="Normal"/>
        <w:jc w:val="both"/>
        <w:rPr>
          <w:lang w:val="it-IT"/>
        </w:rPr>
      </w:pPr>
      <w:r>
        <w:rPr>
          <w:rFonts w:cs="Arial" w:ascii="Arial" w:hAnsi="Arial"/>
          <w:color w:val="444646"/>
          <w:sz w:val="20"/>
          <w:lang w:val="it-IT"/>
        </w:rPr>
        <w:t>D</w:t>
      </w:r>
      <w:r>
        <w:rPr>
          <w:rFonts w:cs="Arial" w:ascii="Arial" w:hAnsi="Arial"/>
          <w:sz w:val="20"/>
          <w:lang w:val="it-IT"/>
        </w:rPr>
        <w:t>escrivi brevemente i criteri che ti hanno portato a scegliere questi prodotti e titoli scientifici (visibilità, carattere innovativo, dimensione collettiva, evidenza di un orientamento o riorientamento tematico, ecc.)</w:t>
      </w:r>
      <w:r>
        <w:rPr>
          <w:rFonts w:cs="Arial" w:ascii="Arial" w:hAnsi="Arial"/>
          <w:color w:val="444646"/>
          <w:sz w:val="20"/>
          <w:lang w:val="it-IT"/>
        </w:rPr>
        <w:t>. Questa motivazione non verrà valutata, ma sarà di supporto alla commissione nel valutare prodotti e titoli selezionati.</w:t>
      </w:r>
    </w:p>
    <w:p>
      <w:pPr>
        <w:pStyle w:val="Normal"/>
        <w:rPr>
          <w:rFonts w:ascii="Arial" w:hAnsi="Arial" w:cs="Arial"/>
          <w:lang w:val="it-IT"/>
        </w:rPr>
      </w:pPr>
      <w:r>
        <w:rPr>
          <w:rFonts w:cs="Arial" w:ascii="Arial" w:hAnsi="Arial"/>
          <w:lang w:val="it-IT"/>
        </w:rPr>
      </w:r>
    </w:p>
    <w:p>
      <w:pPr>
        <w:pStyle w:val="Normal"/>
        <w:rPr>
          <w:rFonts w:ascii="Arial" w:hAnsi="Arial" w:cs="Arial"/>
          <w:lang w:val="it-IT"/>
        </w:rPr>
      </w:pPr>
      <w:r>
        <w:rPr>
          <w:rFonts w:cs="Arial" w:ascii="Arial" w:hAnsi="Arial"/>
          <w:lang w:val="it-IT"/>
        </w:rPr>
        <mc:AlternateContent>
          <mc:Choice Requires="wps">
            <w:drawing>
              <wp:anchor behindDoc="0" distT="0" distB="0" distL="0" distR="0" simplePos="0" locked="0" layoutInCell="1" allowOverlap="1" relativeHeight="7">
                <wp:simplePos x="0" y="0"/>
                <wp:positionH relativeFrom="column">
                  <wp:posOffset>31750</wp:posOffset>
                </wp:positionH>
                <wp:positionV relativeFrom="paragraph">
                  <wp:posOffset>28575</wp:posOffset>
                </wp:positionV>
                <wp:extent cx="6229985" cy="5365750"/>
                <wp:effectExtent l="0" t="0" r="0" b="0"/>
                <wp:wrapNone/>
                <wp:docPr id="1" name="Shape1"/>
                <a:graphic xmlns:a="http://schemas.openxmlformats.org/drawingml/2006/main">
                  <a:graphicData uri="http://schemas.microsoft.com/office/word/2010/wordprocessingShape">
                    <wps:wsp>
                      <wps:cNvSpPr/>
                      <wps:spPr>
                        <a:xfrm>
                          <a:off x="0" y="0"/>
                          <a:ext cx="6229440" cy="5365080"/>
                        </a:xfrm>
                        <a:prstGeom prst="rect">
                          <a:avLst/>
                        </a:prstGeom>
                        <a:noFill/>
                        <a:ln>
                          <a:solidFill>
                            <a:srgbClr val="000000"/>
                          </a:solidFill>
                        </a:ln>
                      </wps:spPr>
                      <wps:style>
                        <a:lnRef idx="0"/>
                        <a:fillRef idx="0"/>
                        <a:effectRef idx="0"/>
                        <a:fontRef idx="minor"/>
                      </wps:style>
                      <wps:txbx>
                        <w:txbxContent>
                          <w:p>
                            <w:pPr>
                              <w:pStyle w:val="FrameContents"/>
                              <w:overflowPunct w:val="false"/>
                              <w:spacing w:before="102" w:after="0"/>
                              <w:rPr>
                                <w:color w:val="000000"/>
                              </w:rPr>
                            </w:pPr>
                            <w:r>
                              <w:rPr>
                                <w:rFonts w:eastAsia="Calibri" w:cs=""/>
                                <w:color w:val="000000"/>
                                <w:sz w:val="24"/>
                              </w:rPr>
                              <w:t>Nella scelta dei tre titoli ho seguito i seguenti criteri:</w:t>
                            </w:r>
                          </w:p>
                          <w:p>
                            <w:pPr>
                              <w:pStyle w:val="FrameContents"/>
                              <w:overflowPunct w:val="false"/>
                              <w:spacing w:before="102" w:after="0"/>
                              <w:rPr>
                                <w:color w:val="000000"/>
                              </w:rPr>
                            </w:pPr>
                            <w:r>
                              <w:rPr>
                                <w:color w:val="000000"/>
                              </w:rPr>
                            </w:r>
                          </w:p>
                          <w:p>
                            <w:pPr>
                              <w:pStyle w:val="FrameContents"/>
                              <w:tabs>
                                <w:tab w:val="clear" w:pos="720"/>
                                <w:tab w:val="left" w:pos="0" w:leader="none"/>
                              </w:tabs>
                              <w:overflowPunct w:val="false"/>
                              <w:ind w:left="300" w:right="0" w:hanging="283"/>
                              <w:rPr>
                                <w:color w:val="000000"/>
                              </w:rPr>
                            </w:pPr>
                            <w:r>
                              <w:rPr>
                                <w:rFonts w:eastAsia="Calibri" w:cs=""/>
                                <w:color w:val="000000"/>
                                <w:sz w:val="24"/>
                              </w:rPr>
                              <w:t>1 privilegiare contributi pubblicati in riviste dove sono primo autore, principal investigator e autore del software;</w:t>
                            </w:r>
                          </w:p>
                          <w:p>
                            <w:pPr>
                              <w:pStyle w:val="FrameContents"/>
                              <w:tabs>
                                <w:tab w:val="clear" w:pos="720"/>
                                <w:tab w:val="left" w:pos="0" w:leader="none"/>
                              </w:tabs>
                              <w:overflowPunct w:val="false"/>
                              <w:ind w:left="300" w:right="0" w:hanging="283"/>
                              <w:rPr>
                                <w:color w:val="000000"/>
                              </w:rPr>
                            </w:pPr>
                            <w:r>
                              <w:rPr>
                                <w:color w:val="000000"/>
                              </w:rPr>
                            </w:r>
                          </w:p>
                          <w:p>
                            <w:pPr>
                              <w:pStyle w:val="FrameContents"/>
                              <w:tabs>
                                <w:tab w:val="clear" w:pos="720"/>
                                <w:tab w:val="left" w:pos="0" w:leader="none"/>
                              </w:tabs>
                              <w:overflowPunct w:val="false"/>
                              <w:spacing w:before="0" w:after="283"/>
                              <w:ind w:left="300" w:right="0" w:hanging="283"/>
                              <w:rPr>
                                <w:color w:val="000000"/>
                              </w:rPr>
                            </w:pPr>
                            <w:r>
                              <w:rPr>
                                <w:rFonts w:eastAsia="Calibri" w:cs=""/>
                                <w:color w:val="000000"/>
                                <w:kern w:val="0"/>
                                <w:sz w:val="24"/>
                                <w:szCs w:val="22"/>
                                <w:lang w:val="it-IT" w:eastAsia="en-US" w:bidi="ar-SA"/>
                              </w:rPr>
                              <w:t>2</w:t>
                            </w:r>
                            <w:r>
                              <w:rPr>
                                <w:rFonts w:eastAsia="Calibri" w:cs=""/>
                                <w:color w:val="000000"/>
                                <w:sz w:val="24"/>
                              </w:rPr>
                              <w:t xml:space="preserve"> </w:t>
                            </w:r>
                            <w:r>
                              <w:rPr>
                                <w:rFonts w:eastAsia="Calibri" w:cs=""/>
                                <w:color w:val="000000"/>
                                <w:kern w:val="0"/>
                                <w:sz w:val="24"/>
                                <w:szCs w:val="22"/>
                                <w:lang w:val="it-IT" w:eastAsia="en-US" w:bidi="ar-SA"/>
                              </w:rPr>
                              <w:t>q</w:t>
                            </w:r>
                            <w:r>
                              <w:rPr>
                                <w:rFonts w:eastAsia="Calibri" w:cs=""/>
                                <w:color w:val="000000"/>
                                <w:sz w:val="24"/>
                              </w:rPr>
                              <w:t xml:space="preserve">uartile </w:t>
                            </w:r>
                            <w:r>
                              <w:rPr>
                                <w:rFonts w:eastAsia="Calibri" w:cs=""/>
                                <w:color w:val="000000"/>
                                <w:kern w:val="0"/>
                                <w:sz w:val="24"/>
                                <w:szCs w:val="22"/>
                                <w:lang w:val="it-IT" w:eastAsia="en-US" w:bidi="ar-SA"/>
                              </w:rPr>
                              <w:t>relativo alla</w:t>
                            </w:r>
                            <w:r>
                              <w:rPr>
                                <w:rFonts w:eastAsia="Calibri" w:cs=""/>
                                <w:color w:val="000000"/>
                                <w:sz w:val="24"/>
                              </w:rPr>
                              <w:t xml:space="preserve"> rivista (sono tutte riviste Q1)</w:t>
                            </w:r>
                          </w:p>
                          <w:p>
                            <w:pPr>
                              <w:pStyle w:val="FrameContents"/>
                              <w:tabs>
                                <w:tab w:val="clear" w:pos="720"/>
                                <w:tab w:val="left" w:pos="0" w:leader="none"/>
                              </w:tabs>
                              <w:overflowPunct w:val="false"/>
                              <w:ind w:left="300" w:right="0" w:hanging="283"/>
                              <w:rPr>
                                <w:color w:val="000000"/>
                              </w:rPr>
                            </w:pPr>
                            <w:r>
                              <w:rPr>
                                <w:color w:val="000000"/>
                              </w:rPr>
                            </w:r>
                          </w:p>
                          <w:p>
                            <w:pPr>
                              <w:pStyle w:val="FrameContents"/>
                              <w:tabs>
                                <w:tab w:val="clear" w:pos="720"/>
                                <w:tab w:val="left" w:pos="0" w:leader="none"/>
                              </w:tabs>
                              <w:overflowPunct w:val="false"/>
                              <w:ind w:left="300" w:right="0" w:hanging="283"/>
                              <w:rPr>
                                <w:color w:val="000000"/>
                              </w:rPr>
                            </w:pPr>
                            <w:r>
                              <w:rPr>
                                <w:rFonts w:eastAsia="Calibri" w:cs=""/>
                                <w:color w:val="000000"/>
                                <w:kern w:val="0"/>
                                <w:sz w:val="24"/>
                                <w:szCs w:val="22"/>
                                <w:lang w:val="it-IT" w:eastAsia="en-US" w:bidi="ar-SA"/>
                              </w:rPr>
                              <w:t>3</w:t>
                            </w:r>
                            <w:r>
                              <w:rPr>
                                <w:rFonts w:eastAsia="Calibri" w:cs=""/>
                                <w:color w:val="000000"/>
                                <w:sz w:val="24"/>
                              </w:rPr>
                              <w:t xml:space="preserve"> privilegiare contributi recenti;</w:t>
                            </w:r>
                          </w:p>
                          <w:p>
                            <w:pPr>
                              <w:pStyle w:val="FrameContents"/>
                              <w:tabs>
                                <w:tab w:val="clear" w:pos="720"/>
                                <w:tab w:val="left" w:pos="0" w:leader="none"/>
                              </w:tabs>
                              <w:overflowPunct w:val="false"/>
                              <w:ind w:left="300" w:right="0" w:hanging="283"/>
                              <w:rPr>
                                <w:color w:val="000000"/>
                              </w:rPr>
                            </w:pPr>
                            <w:r>
                              <w:rPr>
                                <w:color w:val="000000"/>
                              </w:rPr>
                            </w:r>
                          </w:p>
                          <w:p>
                            <w:pPr>
                              <w:pStyle w:val="FrameContents"/>
                              <w:tabs>
                                <w:tab w:val="clear" w:pos="720"/>
                                <w:tab w:val="left" w:pos="0" w:leader="none"/>
                              </w:tabs>
                              <w:overflowPunct w:val="false"/>
                              <w:ind w:left="300" w:right="0" w:hanging="283"/>
                              <w:rPr>
                                <w:color w:val="000000"/>
                              </w:rPr>
                            </w:pPr>
                            <w:r>
                              <w:rPr>
                                <w:rFonts w:eastAsia="Calibri" w:cs=""/>
                                <w:color w:val="000000"/>
                                <w:kern w:val="0"/>
                                <w:sz w:val="24"/>
                                <w:szCs w:val="22"/>
                                <w:lang w:val="it-IT" w:eastAsia="en-US" w:bidi="ar-SA"/>
                              </w:rPr>
                              <w:t>4</w:t>
                            </w:r>
                            <w:r>
                              <w:rPr>
                                <w:rFonts w:eastAsia="Calibri" w:cs=""/>
                                <w:color w:val="000000"/>
                                <w:sz w:val="24"/>
                              </w:rPr>
                              <w:t xml:space="preserve"> differenziare i tipi di contributo innovativo:</w:t>
                            </w:r>
                          </w:p>
                          <w:p>
                            <w:pPr>
                              <w:pStyle w:val="FrameContents"/>
                              <w:tabs>
                                <w:tab w:val="clear" w:pos="720"/>
                                <w:tab w:val="left" w:pos="0" w:leader="none"/>
                              </w:tabs>
                              <w:overflowPunct w:val="false"/>
                              <w:ind w:left="1007" w:right="0" w:hanging="283"/>
                              <w:rPr>
                                <w:color w:val="000000"/>
                              </w:rPr>
                            </w:pPr>
                            <w:r>
                              <w:rPr>
                                <w:rFonts w:eastAsia="Calibri" w:cs=""/>
                                <w:color w:val="000000"/>
                                <w:sz w:val="24"/>
                              </w:rPr>
                              <w:t>Articolo 1: tipo applicativo;</w:t>
                            </w:r>
                          </w:p>
                          <w:p>
                            <w:pPr>
                              <w:pStyle w:val="FrameContents"/>
                              <w:tabs>
                                <w:tab w:val="clear" w:pos="720"/>
                                <w:tab w:val="left" w:pos="0" w:leader="none"/>
                              </w:tabs>
                              <w:overflowPunct w:val="false"/>
                              <w:ind w:left="1007" w:right="0" w:hanging="283"/>
                              <w:rPr>
                                <w:color w:val="000000"/>
                              </w:rPr>
                            </w:pPr>
                            <w:r>
                              <w:rPr>
                                <w:rFonts w:eastAsia="Calibri" w:cs=""/>
                                <w:color w:val="000000"/>
                                <w:sz w:val="24"/>
                              </w:rPr>
                              <w:t>Articolo 2: tipo algoritmico-computazionale;</w:t>
                            </w:r>
                          </w:p>
                          <w:p>
                            <w:pPr>
                              <w:pStyle w:val="FrameContents"/>
                              <w:tabs>
                                <w:tab w:val="clear" w:pos="720"/>
                                <w:tab w:val="left" w:pos="0" w:leader="none"/>
                              </w:tabs>
                              <w:overflowPunct w:val="false"/>
                              <w:ind w:left="1007" w:right="0" w:hanging="283"/>
                              <w:rPr>
                                <w:color w:val="000000"/>
                              </w:rPr>
                            </w:pPr>
                            <w:r>
                              <w:rPr>
                                <w:rFonts w:eastAsia="Calibri" w:cs=""/>
                                <w:color w:val="000000"/>
                                <w:sz w:val="24"/>
                              </w:rPr>
                              <w:t>Articolo 3: tipo algoritmico-teorico;</w:t>
                            </w:r>
                          </w:p>
                          <w:p>
                            <w:pPr>
                              <w:pStyle w:val="FrameContents"/>
                              <w:tabs>
                                <w:tab w:val="clear" w:pos="720"/>
                                <w:tab w:val="left" w:pos="0" w:leader="none"/>
                              </w:tabs>
                              <w:overflowPunct w:val="false"/>
                              <w:ind w:left="1007" w:right="0" w:hanging="283"/>
                              <w:rPr>
                                <w:color w:val="000000"/>
                              </w:rPr>
                            </w:pPr>
                            <w:r>
                              <w:rPr>
                                <w:color w:val="000000"/>
                              </w:rPr>
                            </w:r>
                          </w:p>
                          <w:p>
                            <w:pPr>
                              <w:pStyle w:val="FrameContents"/>
                              <w:tabs>
                                <w:tab w:val="clear" w:pos="720"/>
                                <w:tab w:val="left" w:pos="0" w:leader="none"/>
                              </w:tabs>
                              <w:overflowPunct w:val="false"/>
                              <w:ind w:left="300" w:right="0" w:hanging="283"/>
                              <w:rPr>
                                <w:color w:val="000000"/>
                              </w:rPr>
                            </w:pPr>
                            <w:r>
                              <w:rPr>
                                <w:rFonts w:eastAsia="Calibri" w:cs=""/>
                                <w:color w:val="000000"/>
                                <w:kern w:val="0"/>
                                <w:sz w:val="24"/>
                                <w:szCs w:val="22"/>
                                <w:lang w:val="it-IT" w:eastAsia="en-US" w:bidi="ar-SA"/>
                              </w:rPr>
                              <w:t>5</w:t>
                            </w:r>
                            <w:r>
                              <w:rPr>
                                <w:rFonts w:eastAsia="Calibri" w:cs=""/>
                                <w:color w:val="000000"/>
                                <w:sz w:val="24"/>
                              </w:rPr>
                              <w:t xml:space="preserve"> differenziare le applicazioni di machine learning, includendo:</w:t>
                            </w:r>
                          </w:p>
                          <w:p>
                            <w:pPr>
                              <w:pStyle w:val="FrameContents"/>
                              <w:tabs>
                                <w:tab w:val="clear" w:pos="720"/>
                                <w:tab w:val="left" w:pos="0" w:leader="none"/>
                              </w:tabs>
                              <w:overflowPunct w:val="false"/>
                              <w:ind w:left="1007" w:right="0" w:hanging="283"/>
                              <w:rPr>
                                <w:color w:val="000000"/>
                              </w:rPr>
                            </w:pPr>
                            <w:r>
                              <w:rPr>
                                <w:rFonts w:eastAsia="Calibri" w:cs=""/>
                                <w:color w:val="000000"/>
                                <w:sz w:val="24"/>
                              </w:rPr>
                              <w:t>Classificazione;</w:t>
                            </w:r>
                          </w:p>
                          <w:p>
                            <w:pPr>
                              <w:pStyle w:val="FrameContents"/>
                              <w:tabs>
                                <w:tab w:val="clear" w:pos="720"/>
                                <w:tab w:val="left" w:pos="0" w:leader="none"/>
                              </w:tabs>
                              <w:overflowPunct w:val="false"/>
                              <w:ind w:left="1007" w:right="0" w:hanging="283"/>
                              <w:rPr>
                                <w:color w:val="000000"/>
                              </w:rPr>
                            </w:pPr>
                            <w:r>
                              <w:rPr>
                                <w:rFonts w:eastAsia="Calibri" w:cs=""/>
                                <w:color w:val="000000"/>
                                <w:sz w:val="24"/>
                              </w:rPr>
                              <w:t>forecasting (post-processing);</w:t>
                            </w:r>
                          </w:p>
                          <w:p>
                            <w:pPr>
                              <w:pStyle w:val="FrameContents"/>
                              <w:tabs>
                                <w:tab w:val="clear" w:pos="720"/>
                                <w:tab w:val="left" w:pos="0" w:leader="none"/>
                              </w:tabs>
                              <w:overflowPunct w:val="false"/>
                              <w:spacing w:before="0" w:after="283"/>
                              <w:ind w:left="1007" w:right="0" w:hanging="283"/>
                              <w:rPr>
                                <w:color w:val="000000"/>
                              </w:rPr>
                            </w:pPr>
                            <w:r>
                              <w:rPr>
                                <w:rFonts w:eastAsia="Calibri" w:cs=""/>
                                <w:color w:val="000000"/>
                                <w:sz w:val="24"/>
                              </w:rPr>
                              <w:t xml:space="preserve">forecasting (mode-decomposition); </w:t>
                            </w:r>
                          </w:p>
                          <w:p>
                            <w:pPr>
                              <w:pStyle w:val="FrameContents"/>
                              <w:overflowPunct w:val="false"/>
                              <w:spacing w:before="0" w:after="283"/>
                              <w:rPr>
                                <w:color w:val="000000"/>
                              </w:rPr>
                            </w:pPr>
                            <w:r>
                              <w:rPr>
                                <w:rFonts w:eastAsia="Calibri" w:cs=""/>
                                <w:color w:val="000000"/>
                                <w:kern w:val="0"/>
                                <w:sz w:val="24"/>
                                <w:szCs w:val="22"/>
                                <w:lang w:val="it-IT" w:eastAsia="en-US" w:bidi="ar-SA"/>
                              </w:rPr>
                              <w:t>6</w:t>
                            </w:r>
                            <w:r>
                              <w:rPr>
                                <w:rFonts w:eastAsia="Calibri" w:cs=""/>
                                <w:color w:val="000000"/>
                                <w:sz w:val="24"/>
                              </w:rPr>
                              <w:t xml:space="preserve"> generalità del contributo innovativo (limitata al campo di applicazione, applicabile in diversi problemi di forecasting, applicabile in campi di applicazione disparati).</w:t>
                            </w:r>
                          </w:p>
                          <w:p>
                            <w:pPr>
                              <w:pStyle w:val="FrameContents"/>
                              <w:overflowPunct w:val="false"/>
                              <w:spacing w:before="0" w:after="283"/>
                              <w:rPr>
                                <w:color w:val="000000"/>
                              </w:rPr>
                            </w:pPr>
                            <w:r>
                              <w:rPr>
                                <w:rFonts w:eastAsia="Calibri" w:cs=""/>
                                <w:color w:val="000000"/>
                                <w:kern w:val="0"/>
                                <w:sz w:val="24"/>
                                <w:szCs w:val="22"/>
                                <w:lang w:val="it-IT" w:eastAsia="en-US" w:bidi="ar-SA"/>
                              </w:rPr>
                              <w:t>7</w:t>
                            </w:r>
                            <w:r>
                              <w:rPr>
                                <w:rFonts w:eastAsia="Calibri" w:cs=""/>
                                <w:color w:val="000000"/>
                                <w:sz w:val="24"/>
                              </w:rPr>
                              <w:t xml:space="preserve"> Differenziare le riviste (Remote Sensing (MDPI), Scientific Reports (Springer Nature), Forecasting (MDPI) </w:t>
                            </w:r>
                          </w:p>
                          <w:p>
                            <w:pPr>
                              <w:pStyle w:val="FrameContents"/>
                              <w:overflowPunct w:val="false"/>
                              <w:spacing w:before="0" w:after="283"/>
                              <w:rPr>
                                <w:color w:val="000000"/>
                              </w:rPr>
                            </w:pPr>
                            <w:r>
                              <w:rPr>
                                <w:color w:val="000000"/>
                              </w:rPr>
                            </w:r>
                          </w:p>
                          <w:p>
                            <w:pPr>
                              <w:pStyle w:val="FrameContents"/>
                              <w:overflowPunct w:val="false"/>
                              <w:spacing w:before="0" w:after="283"/>
                              <w:rPr>
                                <w:color w:val="000000"/>
                              </w:rPr>
                            </w:pPr>
                            <w:r>
                              <w:rPr/>
                            </w:r>
                          </w:p>
                        </w:txbxContent>
                      </wps:txbx>
                      <wps:bodyPr lIns="0" rIns="0" tIns="0" bIns="0">
                        <a:spAutoFit/>
                      </wps:bodyPr>
                    </wps:wsp>
                  </a:graphicData>
                </a:graphic>
              </wp:anchor>
            </w:drawing>
          </mc:Choice>
          <mc:Fallback>
            <w:pict>
              <v:rect id="shape_0" ID="Shape1" stroked="t" style="position:absolute;margin-left:2.5pt;margin-top:2.25pt;width:490.45pt;height:422.4pt">
                <w10:wrap type="square"/>
                <v:fill o:detectmouseclick="t" on="false"/>
                <v:stroke color="black" joinstyle="round" endcap="flat"/>
                <v:textbox>
                  <w:txbxContent>
                    <w:p>
                      <w:pPr>
                        <w:pStyle w:val="FrameContents"/>
                        <w:overflowPunct w:val="false"/>
                        <w:spacing w:before="102" w:after="0"/>
                        <w:rPr>
                          <w:color w:val="000000"/>
                        </w:rPr>
                      </w:pPr>
                      <w:r>
                        <w:rPr>
                          <w:rFonts w:eastAsia="Calibri" w:cs=""/>
                          <w:color w:val="000000"/>
                          <w:sz w:val="24"/>
                        </w:rPr>
                        <w:t>Nella scelta dei tre titoli ho seguito i seguenti criteri:</w:t>
                      </w:r>
                    </w:p>
                    <w:p>
                      <w:pPr>
                        <w:pStyle w:val="FrameContents"/>
                        <w:overflowPunct w:val="false"/>
                        <w:spacing w:before="102" w:after="0"/>
                        <w:rPr>
                          <w:color w:val="000000"/>
                        </w:rPr>
                      </w:pPr>
                      <w:r>
                        <w:rPr>
                          <w:color w:val="000000"/>
                        </w:rPr>
                      </w:r>
                    </w:p>
                    <w:p>
                      <w:pPr>
                        <w:pStyle w:val="FrameContents"/>
                        <w:tabs>
                          <w:tab w:val="clear" w:pos="720"/>
                          <w:tab w:val="left" w:pos="0" w:leader="none"/>
                        </w:tabs>
                        <w:overflowPunct w:val="false"/>
                        <w:ind w:left="300" w:right="0" w:hanging="283"/>
                        <w:rPr>
                          <w:color w:val="000000"/>
                        </w:rPr>
                      </w:pPr>
                      <w:r>
                        <w:rPr>
                          <w:rFonts w:eastAsia="Calibri" w:cs=""/>
                          <w:color w:val="000000"/>
                          <w:sz w:val="24"/>
                        </w:rPr>
                        <w:t>1 privilegiare contributi pubblicati in riviste dove sono primo autore, principal investigator e autore del software;</w:t>
                      </w:r>
                    </w:p>
                    <w:p>
                      <w:pPr>
                        <w:pStyle w:val="FrameContents"/>
                        <w:tabs>
                          <w:tab w:val="clear" w:pos="720"/>
                          <w:tab w:val="left" w:pos="0" w:leader="none"/>
                        </w:tabs>
                        <w:overflowPunct w:val="false"/>
                        <w:ind w:left="300" w:right="0" w:hanging="283"/>
                        <w:rPr>
                          <w:color w:val="000000"/>
                        </w:rPr>
                      </w:pPr>
                      <w:r>
                        <w:rPr>
                          <w:color w:val="000000"/>
                        </w:rPr>
                      </w:r>
                    </w:p>
                    <w:p>
                      <w:pPr>
                        <w:pStyle w:val="FrameContents"/>
                        <w:tabs>
                          <w:tab w:val="clear" w:pos="720"/>
                          <w:tab w:val="left" w:pos="0" w:leader="none"/>
                        </w:tabs>
                        <w:overflowPunct w:val="false"/>
                        <w:spacing w:before="0" w:after="283"/>
                        <w:ind w:left="300" w:right="0" w:hanging="283"/>
                        <w:rPr>
                          <w:color w:val="000000"/>
                        </w:rPr>
                      </w:pPr>
                      <w:r>
                        <w:rPr>
                          <w:rFonts w:eastAsia="Calibri" w:cs=""/>
                          <w:color w:val="000000"/>
                          <w:kern w:val="0"/>
                          <w:sz w:val="24"/>
                          <w:szCs w:val="22"/>
                          <w:lang w:val="it-IT" w:eastAsia="en-US" w:bidi="ar-SA"/>
                        </w:rPr>
                        <w:t>2</w:t>
                      </w:r>
                      <w:r>
                        <w:rPr>
                          <w:rFonts w:eastAsia="Calibri" w:cs=""/>
                          <w:color w:val="000000"/>
                          <w:sz w:val="24"/>
                        </w:rPr>
                        <w:t xml:space="preserve"> </w:t>
                      </w:r>
                      <w:r>
                        <w:rPr>
                          <w:rFonts w:eastAsia="Calibri" w:cs=""/>
                          <w:color w:val="000000"/>
                          <w:kern w:val="0"/>
                          <w:sz w:val="24"/>
                          <w:szCs w:val="22"/>
                          <w:lang w:val="it-IT" w:eastAsia="en-US" w:bidi="ar-SA"/>
                        </w:rPr>
                        <w:t>q</w:t>
                      </w:r>
                      <w:r>
                        <w:rPr>
                          <w:rFonts w:eastAsia="Calibri" w:cs=""/>
                          <w:color w:val="000000"/>
                          <w:sz w:val="24"/>
                        </w:rPr>
                        <w:t xml:space="preserve">uartile </w:t>
                      </w:r>
                      <w:r>
                        <w:rPr>
                          <w:rFonts w:eastAsia="Calibri" w:cs=""/>
                          <w:color w:val="000000"/>
                          <w:kern w:val="0"/>
                          <w:sz w:val="24"/>
                          <w:szCs w:val="22"/>
                          <w:lang w:val="it-IT" w:eastAsia="en-US" w:bidi="ar-SA"/>
                        </w:rPr>
                        <w:t>relativo alla</w:t>
                      </w:r>
                      <w:r>
                        <w:rPr>
                          <w:rFonts w:eastAsia="Calibri" w:cs=""/>
                          <w:color w:val="000000"/>
                          <w:sz w:val="24"/>
                        </w:rPr>
                        <w:t xml:space="preserve"> rivista (sono tutte riviste Q1)</w:t>
                      </w:r>
                    </w:p>
                    <w:p>
                      <w:pPr>
                        <w:pStyle w:val="FrameContents"/>
                        <w:tabs>
                          <w:tab w:val="clear" w:pos="720"/>
                          <w:tab w:val="left" w:pos="0" w:leader="none"/>
                        </w:tabs>
                        <w:overflowPunct w:val="false"/>
                        <w:ind w:left="300" w:right="0" w:hanging="283"/>
                        <w:rPr>
                          <w:color w:val="000000"/>
                        </w:rPr>
                      </w:pPr>
                      <w:r>
                        <w:rPr>
                          <w:color w:val="000000"/>
                        </w:rPr>
                      </w:r>
                    </w:p>
                    <w:p>
                      <w:pPr>
                        <w:pStyle w:val="FrameContents"/>
                        <w:tabs>
                          <w:tab w:val="clear" w:pos="720"/>
                          <w:tab w:val="left" w:pos="0" w:leader="none"/>
                        </w:tabs>
                        <w:overflowPunct w:val="false"/>
                        <w:ind w:left="300" w:right="0" w:hanging="283"/>
                        <w:rPr>
                          <w:color w:val="000000"/>
                        </w:rPr>
                      </w:pPr>
                      <w:r>
                        <w:rPr>
                          <w:rFonts w:eastAsia="Calibri" w:cs=""/>
                          <w:color w:val="000000"/>
                          <w:kern w:val="0"/>
                          <w:sz w:val="24"/>
                          <w:szCs w:val="22"/>
                          <w:lang w:val="it-IT" w:eastAsia="en-US" w:bidi="ar-SA"/>
                        </w:rPr>
                        <w:t>3</w:t>
                      </w:r>
                      <w:r>
                        <w:rPr>
                          <w:rFonts w:eastAsia="Calibri" w:cs=""/>
                          <w:color w:val="000000"/>
                          <w:sz w:val="24"/>
                        </w:rPr>
                        <w:t xml:space="preserve"> privilegiare contributi recenti;</w:t>
                      </w:r>
                    </w:p>
                    <w:p>
                      <w:pPr>
                        <w:pStyle w:val="FrameContents"/>
                        <w:tabs>
                          <w:tab w:val="clear" w:pos="720"/>
                          <w:tab w:val="left" w:pos="0" w:leader="none"/>
                        </w:tabs>
                        <w:overflowPunct w:val="false"/>
                        <w:ind w:left="300" w:right="0" w:hanging="283"/>
                        <w:rPr>
                          <w:color w:val="000000"/>
                        </w:rPr>
                      </w:pPr>
                      <w:r>
                        <w:rPr>
                          <w:color w:val="000000"/>
                        </w:rPr>
                      </w:r>
                    </w:p>
                    <w:p>
                      <w:pPr>
                        <w:pStyle w:val="FrameContents"/>
                        <w:tabs>
                          <w:tab w:val="clear" w:pos="720"/>
                          <w:tab w:val="left" w:pos="0" w:leader="none"/>
                        </w:tabs>
                        <w:overflowPunct w:val="false"/>
                        <w:ind w:left="300" w:right="0" w:hanging="283"/>
                        <w:rPr>
                          <w:color w:val="000000"/>
                        </w:rPr>
                      </w:pPr>
                      <w:r>
                        <w:rPr>
                          <w:rFonts w:eastAsia="Calibri" w:cs=""/>
                          <w:color w:val="000000"/>
                          <w:kern w:val="0"/>
                          <w:sz w:val="24"/>
                          <w:szCs w:val="22"/>
                          <w:lang w:val="it-IT" w:eastAsia="en-US" w:bidi="ar-SA"/>
                        </w:rPr>
                        <w:t>4</w:t>
                      </w:r>
                      <w:r>
                        <w:rPr>
                          <w:rFonts w:eastAsia="Calibri" w:cs=""/>
                          <w:color w:val="000000"/>
                          <w:sz w:val="24"/>
                        </w:rPr>
                        <w:t xml:space="preserve"> differenziare i tipi di contributo innovativo:</w:t>
                      </w:r>
                    </w:p>
                    <w:p>
                      <w:pPr>
                        <w:pStyle w:val="FrameContents"/>
                        <w:tabs>
                          <w:tab w:val="clear" w:pos="720"/>
                          <w:tab w:val="left" w:pos="0" w:leader="none"/>
                        </w:tabs>
                        <w:overflowPunct w:val="false"/>
                        <w:ind w:left="1007" w:right="0" w:hanging="283"/>
                        <w:rPr>
                          <w:color w:val="000000"/>
                        </w:rPr>
                      </w:pPr>
                      <w:r>
                        <w:rPr>
                          <w:rFonts w:eastAsia="Calibri" w:cs=""/>
                          <w:color w:val="000000"/>
                          <w:sz w:val="24"/>
                        </w:rPr>
                        <w:t>Articolo 1: tipo applicativo;</w:t>
                      </w:r>
                    </w:p>
                    <w:p>
                      <w:pPr>
                        <w:pStyle w:val="FrameContents"/>
                        <w:tabs>
                          <w:tab w:val="clear" w:pos="720"/>
                          <w:tab w:val="left" w:pos="0" w:leader="none"/>
                        </w:tabs>
                        <w:overflowPunct w:val="false"/>
                        <w:ind w:left="1007" w:right="0" w:hanging="283"/>
                        <w:rPr>
                          <w:color w:val="000000"/>
                        </w:rPr>
                      </w:pPr>
                      <w:r>
                        <w:rPr>
                          <w:rFonts w:eastAsia="Calibri" w:cs=""/>
                          <w:color w:val="000000"/>
                          <w:sz w:val="24"/>
                        </w:rPr>
                        <w:t>Articolo 2: tipo algoritmico-computazionale;</w:t>
                      </w:r>
                    </w:p>
                    <w:p>
                      <w:pPr>
                        <w:pStyle w:val="FrameContents"/>
                        <w:tabs>
                          <w:tab w:val="clear" w:pos="720"/>
                          <w:tab w:val="left" w:pos="0" w:leader="none"/>
                        </w:tabs>
                        <w:overflowPunct w:val="false"/>
                        <w:ind w:left="1007" w:right="0" w:hanging="283"/>
                        <w:rPr>
                          <w:color w:val="000000"/>
                        </w:rPr>
                      </w:pPr>
                      <w:r>
                        <w:rPr>
                          <w:rFonts w:eastAsia="Calibri" w:cs=""/>
                          <w:color w:val="000000"/>
                          <w:sz w:val="24"/>
                        </w:rPr>
                        <w:t>Articolo 3: tipo algoritmico-teorico;</w:t>
                      </w:r>
                    </w:p>
                    <w:p>
                      <w:pPr>
                        <w:pStyle w:val="FrameContents"/>
                        <w:tabs>
                          <w:tab w:val="clear" w:pos="720"/>
                          <w:tab w:val="left" w:pos="0" w:leader="none"/>
                        </w:tabs>
                        <w:overflowPunct w:val="false"/>
                        <w:ind w:left="1007" w:right="0" w:hanging="283"/>
                        <w:rPr>
                          <w:color w:val="000000"/>
                        </w:rPr>
                      </w:pPr>
                      <w:r>
                        <w:rPr>
                          <w:color w:val="000000"/>
                        </w:rPr>
                      </w:r>
                    </w:p>
                    <w:p>
                      <w:pPr>
                        <w:pStyle w:val="FrameContents"/>
                        <w:tabs>
                          <w:tab w:val="clear" w:pos="720"/>
                          <w:tab w:val="left" w:pos="0" w:leader="none"/>
                        </w:tabs>
                        <w:overflowPunct w:val="false"/>
                        <w:ind w:left="300" w:right="0" w:hanging="283"/>
                        <w:rPr>
                          <w:color w:val="000000"/>
                        </w:rPr>
                      </w:pPr>
                      <w:r>
                        <w:rPr>
                          <w:rFonts w:eastAsia="Calibri" w:cs=""/>
                          <w:color w:val="000000"/>
                          <w:kern w:val="0"/>
                          <w:sz w:val="24"/>
                          <w:szCs w:val="22"/>
                          <w:lang w:val="it-IT" w:eastAsia="en-US" w:bidi="ar-SA"/>
                        </w:rPr>
                        <w:t>5</w:t>
                      </w:r>
                      <w:r>
                        <w:rPr>
                          <w:rFonts w:eastAsia="Calibri" w:cs=""/>
                          <w:color w:val="000000"/>
                          <w:sz w:val="24"/>
                        </w:rPr>
                        <w:t xml:space="preserve"> differenziare le applicazioni di machine learning, includendo:</w:t>
                      </w:r>
                    </w:p>
                    <w:p>
                      <w:pPr>
                        <w:pStyle w:val="FrameContents"/>
                        <w:tabs>
                          <w:tab w:val="clear" w:pos="720"/>
                          <w:tab w:val="left" w:pos="0" w:leader="none"/>
                        </w:tabs>
                        <w:overflowPunct w:val="false"/>
                        <w:ind w:left="1007" w:right="0" w:hanging="283"/>
                        <w:rPr>
                          <w:color w:val="000000"/>
                        </w:rPr>
                      </w:pPr>
                      <w:r>
                        <w:rPr>
                          <w:rFonts w:eastAsia="Calibri" w:cs=""/>
                          <w:color w:val="000000"/>
                          <w:sz w:val="24"/>
                        </w:rPr>
                        <w:t>Classificazione;</w:t>
                      </w:r>
                    </w:p>
                    <w:p>
                      <w:pPr>
                        <w:pStyle w:val="FrameContents"/>
                        <w:tabs>
                          <w:tab w:val="clear" w:pos="720"/>
                          <w:tab w:val="left" w:pos="0" w:leader="none"/>
                        </w:tabs>
                        <w:overflowPunct w:val="false"/>
                        <w:ind w:left="1007" w:right="0" w:hanging="283"/>
                        <w:rPr>
                          <w:color w:val="000000"/>
                        </w:rPr>
                      </w:pPr>
                      <w:r>
                        <w:rPr>
                          <w:rFonts w:eastAsia="Calibri" w:cs=""/>
                          <w:color w:val="000000"/>
                          <w:sz w:val="24"/>
                        </w:rPr>
                        <w:t>forecasting (post-processing);</w:t>
                      </w:r>
                    </w:p>
                    <w:p>
                      <w:pPr>
                        <w:pStyle w:val="FrameContents"/>
                        <w:tabs>
                          <w:tab w:val="clear" w:pos="720"/>
                          <w:tab w:val="left" w:pos="0" w:leader="none"/>
                        </w:tabs>
                        <w:overflowPunct w:val="false"/>
                        <w:spacing w:before="0" w:after="283"/>
                        <w:ind w:left="1007" w:right="0" w:hanging="283"/>
                        <w:rPr>
                          <w:color w:val="000000"/>
                        </w:rPr>
                      </w:pPr>
                      <w:r>
                        <w:rPr>
                          <w:rFonts w:eastAsia="Calibri" w:cs=""/>
                          <w:color w:val="000000"/>
                          <w:sz w:val="24"/>
                        </w:rPr>
                        <w:t xml:space="preserve">forecasting (mode-decomposition); </w:t>
                      </w:r>
                    </w:p>
                    <w:p>
                      <w:pPr>
                        <w:pStyle w:val="FrameContents"/>
                        <w:overflowPunct w:val="false"/>
                        <w:spacing w:before="0" w:after="283"/>
                        <w:rPr>
                          <w:color w:val="000000"/>
                        </w:rPr>
                      </w:pPr>
                      <w:r>
                        <w:rPr>
                          <w:rFonts w:eastAsia="Calibri" w:cs=""/>
                          <w:color w:val="000000"/>
                          <w:kern w:val="0"/>
                          <w:sz w:val="24"/>
                          <w:szCs w:val="22"/>
                          <w:lang w:val="it-IT" w:eastAsia="en-US" w:bidi="ar-SA"/>
                        </w:rPr>
                        <w:t>6</w:t>
                      </w:r>
                      <w:r>
                        <w:rPr>
                          <w:rFonts w:eastAsia="Calibri" w:cs=""/>
                          <w:color w:val="000000"/>
                          <w:sz w:val="24"/>
                        </w:rPr>
                        <w:t xml:space="preserve"> generalità del contributo innovativo (limitata al campo di applicazione, applicabile in diversi problemi di forecasting, applicabile in campi di applicazione disparati).</w:t>
                      </w:r>
                    </w:p>
                    <w:p>
                      <w:pPr>
                        <w:pStyle w:val="FrameContents"/>
                        <w:overflowPunct w:val="false"/>
                        <w:spacing w:before="0" w:after="283"/>
                        <w:rPr>
                          <w:color w:val="000000"/>
                        </w:rPr>
                      </w:pPr>
                      <w:r>
                        <w:rPr>
                          <w:rFonts w:eastAsia="Calibri" w:cs=""/>
                          <w:color w:val="000000"/>
                          <w:kern w:val="0"/>
                          <w:sz w:val="24"/>
                          <w:szCs w:val="22"/>
                          <w:lang w:val="it-IT" w:eastAsia="en-US" w:bidi="ar-SA"/>
                        </w:rPr>
                        <w:t>7</w:t>
                      </w:r>
                      <w:r>
                        <w:rPr>
                          <w:rFonts w:eastAsia="Calibri" w:cs=""/>
                          <w:color w:val="000000"/>
                          <w:sz w:val="24"/>
                        </w:rPr>
                        <w:t xml:space="preserve"> Differenziare le riviste (Remote Sensing (MDPI), Scientific Reports (Springer Nature), Forecasting (MDPI) </w:t>
                      </w:r>
                    </w:p>
                    <w:p>
                      <w:pPr>
                        <w:pStyle w:val="FrameContents"/>
                        <w:overflowPunct w:val="false"/>
                        <w:spacing w:before="0" w:after="283"/>
                        <w:rPr>
                          <w:color w:val="000000"/>
                        </w:rPr>
                      </w:pPr>
                      <w:r>
                        <w:rPr>
                          <w:color w:val="000000"/>
                        </w:rPr>
                      </w:r>
                    </w:p>
                    <w:p>
                      <w:pPr>
                        <w:pStyle w:val="FrameContents"/>
                        <w:overflowPunct w:val="false"/>
                        <w:spacing w:before="0" w:after="283"/>
                        <w:rPr>
                          <w:color w:val="000000"/>
                        </w:rPr>
                      </w:pPr>
                      <w:r>
                        <w:rPr/>
                      </w:r>
                    </w:p>
                  </w:txbxContent>
                </v:textbox>
              </v:rect>
            </w:pict>
          </mc:Fallback>
        </mc:AlternateContent>
      </w:r>
    </w:p>
    <w:p>
      <w:pPr>
        <w:pStyle w:val="Normal"/>
        <w:rPr>
          <w:rFonts w:ascii="Arial" w:hAnsi="Arial" w:cs="Arial"/>
          <w:lang w:val="it-IT"/>
        </w:rPr>
      </w:pPr>
      <w:r>
        <w:rPr>
          <w:rFonts w:cs="Arial" w:ascii="Arial" w:hAnsi="Arial"/>
          <w:lang w:val="it-IT"/>
        </w:rPr>
      </w:r>
    </w:p>
    <w:p>
      <w:pPr>
        <w:pStyle w:val="Normal"/>
        <w:rPr>
          <w:rFonts w:ascii="Arial" w:hAnsi="Arial" w:cs="Arial"/>
          <w:lang w:val="it-IT"/>
        </w:rPr>
      </w:pPr>
      <w:r>
        <w:rPr>
          <w:rFonts w:cs="Arial" w:ascii="Arial" w:hAnsi="Arial"/>
          <w:lang w:val="it-IT"/>
        </w:rPr>
      </w:r>
    </w:p>
    <w:p>
      <w:pPr>
        <w:pStyle w:val="Normal"/>
        <w:rPr>
          <w:rFonts w:ascii="Arial" w:hAnsi="Arial" w:cs="Arial"/>
          <w:sz w:val="24"/>
          <w:lang w:val="it-IT"/>
        </w:rPr>
      </w:pPr>
      <w:r>
        <w:rPr>
          <w:rFonts w:cs="Arial" w:ascii="Arial" w:hAnsi="Arial"/>
          <w:sz w:val="24"/>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lang w:val="it-IT"/>
        </w:rPr>
      </w:pPr>
      <w:r>
        <w:rPr>
          <w:lang w:val="it-IT"/>
        </w:rPr>
      </w:r>
    </w:p>
    <w:p>
      <w:pPr>
        <w:pStyle w:val="Heading1"/>
        <w:ind w:left="0" w:hanging="0"/>
        <w:jc w:val="center"/>
        <w:rPr>
          <w:rFonts w:ascii="Arial" w:hAnsi="Arial" w:cs="Arial"/>
          <w:color w:val="434343"/>
        </w:rPr>
      </w:pPr>
      <w:r>
        <w:rPr>
          <w:rFonts w:cs="Arial" w:ascii="Arial" w:hAnsi="Arial"/>
          <w:color w:val="434343"/>
        </w:rPr>
      </w:r>
    </w:p>
    <w:p>
      <w:pPr>
        <w:pStyle w:val="Normal"/>
        <w:rPr>
          <w:rFonts w:ascii="Arial" w:hAnsi="Arial" w:cs="Arial"/>
          <w:sz w:val="33"/>
          <w:lang w:val="it-IT"/>
        </w:rPr>
      </w:pPr>
      <w:r>
        <w:rPr>
          <w:rFonts w:cs="Arial" w:ascii="Arial" w:hAnsi="Arial"/>
          <w:sz w:val="33"/>
          <w:lang w:val="it-IT"/>
        </w:rPr>
      </w:r>
    </w:p>
    <w:p>
      <w:pPr>
        <w:pStyle w:val="Normal"/>
        <w:rPr>
          <w:rFonts w:ascii="Arial" w:hAnsi="Arial" w:cs="Arial"/>
          <w:i/>
          <w:i/>
        </w:rPr>
      </w:pPr>
      <w:r>
        <w:rPr>
          <w:rFonts w:cs="Arial" w:ascii="Arial" w:hAnsi="Arial"/>
          <w:i/>
        </w:rPr>
      </w:r>
    </w:p>
    <w:p>
      <w:pPr>
        <w:pStyle w:val="TextBody"/>
        <w:rPr>
          <w:b w:val="false"/>
          <w:b w:val="false"/>
          <w:i/>
          <w:i/>
          <w:sz w:val="24"/>
          <w:lang w:val="it-IT"/>
        </w:rPr>
      </w:pPr>
      <w:r>
        <w:rPr>
          <w:b w:val="false"/>
          <w:i/>
          <w:sz w:val="24"/>
          <w:lang w:val="it-IT"/>
        </w:rPr>
      </w:r>
    </w:p>
    <w:p>
      <w:pPr>
        <w:pStyle w:val="Heading2"/>
        <w:ind w:left="0" w:hanging="0"/>
        <w:jc w:val="both"/>
        <w:rPr>
          <w:lang w:val="it-IT"/>
        </w:rPr>
      </w:pPr>
      <w:r>
        <w:rPr>
          <w:rFonts w:cs="Arial" w:ascii="Arial" w:hAnsi="Arial"/>
          <w:lang w:val="it-IT"/>
        </w:rPr>
        <w:t>Elenco Prodotti e Titoli ordinati, mediante assegnazione del numero progressivo (Nr….)</w:t>
      </w:r>
    </w:p>
    <w:p>
      <w:pPr>
        <w:pStyle w:val="Normal"/>
        <w:rPr>
          <w:rFonts w:ascii="Arial" w:hAnsi="Arial" w:cs="Arial"/>
          <w:sz w:val="24"/>
          <w:lang w:val="it-IT"/>
        </w:rPr>
      </w:pPr>
      <w:r>
        <w:rPr>
          <w:rFonts w:cs="Arial" w:ascii="Arial" w:hAnsi="Arial"/>
          <w:sz w:val="24"/>
          <w:lang w:val="it-IT"/>
        </w:rPr>
      </w:r>
    </w:p>
    <w:p>
      <w:pPr>
        <w:pStyle w:val="ListParagraph"/>
        <w:numPr>
          <w:ilvl w:val="0"/>
          <w:numId w:val="2"/>
        </w:numPr>
        <w:ind w:left="0" w:hanging="0"/>
        <w:rPr>
          <w:lang w:val="it-IT"/>
        </w:rPr>
      </w:pPr>
      <w:r>
        <w:rPr>
          <w:b/>
          <w:lang w:val="it-IT"/>
        </w:rPr>
        <w:t xml:space="preserve">Contributo in rivista </w:t>
      </w:r>
      <w:r>
        <w:rPr>
          <w:lang w:val="it-IT"/>
        </w:rPr>
        <w:t>[articolo, lettera, review, perspective, software/data paper, recensione, scheda bibliografica, traduzione, nota a sentenza]</w:t>
      </w:r>
    </w:p>
    <w:p>
      <w:pPr>
        <w:pStyle w:val="Normal"/>
        <w:rPr>
          <w:rFonts w:ascii="Arial" w:hAnsi="Arial" w:cs="Arial"/>
          <w:sz w:val="20"/>
          <w:lang w:val="it-IT"/>
        </w:rPr>
      </w:pPr>
      <w:r>
        <w:rPr>
          <w:rFonts w:cs="Arial" w:ascii="Arial" w:hAnsi="Arial"/>
          <w:sz w:val="20"/>
          <w:lang w:val="it-IT"/>
        </w:rPr>
      </w:r>
    </w:p>
    <w:p>
      <w:pPr>
        <w:pStyle w:val="Normal"/>
        <w:rPr>
          <w:rFonts w:ascii="Arial" w:hAnsi="Arial" w:cs="Arial"/>
          <w:sz w:val="20"/>
          <w:lang w:val="it-IT"/>
        </w:rPr>
      </w:pPr>
      <w:r>
        <w:rPr>
          <w:rFonts w:cs="Arial" w:ascii="Arial" w:hAnsi="Arial"/>
          <w:sz w:val="20"/>
          <w:lang w:val="it-IT"/>
        </w:rPr>
      </w:r>
    </w:p>
    <w:p>
      <w:pPr>
        <w:pStyle w:val="Normal"/>
        <w:rPr>
          <w:rFonts w:ascii="Arial" w:hAnsi="Arial" w:cs="Arial"/>
          <w:sz w:val="10"/>
          <w:lang w:val="it-IT"/>
        </w:rPr>
      </w:pPr>
      <w:r>
        <w:rPr>
          <w:rFonts w:cs="Arial" w:ascii="Arial" w:hAnsi="Arial"/>
          <w:sz w:val="10"/>
          <w:lang w:val="it-IT"/>
        </w:rPr>
      </w:r>
    </w:p>
    <w:tbl>
      <w:tblPr>
        <w:tblStyle w:val="TableNormal"/>
        <w:tblW w:w="9780" w:type="dxa"/>
        <w:jc w:val="left"/>
        <w:tblInd w:w="218" w:type="dxa"/>
        <w:tblCellMar>
          <w:top w:w="0" w:type="dxa"/>
          <w:left w:w="108" w:type="dxa"/>
          <w:bottom w:w="0" w:type="dxa"/>
          <w:right w:w="108" w:type="dxa"/>
        </w:tblCellMar>
        <w:tblLook w:val="01e0" w:noHBand="0" w:noVBand="0" w:firstColumn="1" w:lastRow="1" w:lastColumn="1" w:firstRow="1"/>
      </w:tblPr>
      <w:tblGrid>
        <w:gridCol w:w="9780"/>
      </w:tblGrid>
      <w:tr>
        <w:trPr>
          <w:trHeight w:val="23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b/>
                <w:sz w:val="20"/>
                <w:lang w:val="it-IT"/>
              </w:rPr>
              <w:t>Nr 1</w:t>
            </w:r>
          </w:p>
        </w:tc>
      </w:tr>
      <w:tr>
        <w:trPr>
          <w:trHeight w:val="22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Tipologia prodotto </w:t>
            </w:r>
            <w:r>
              <w:rPr>
                <w:rFonts w:cs="Arial" w:ascii="Arial" w:hAnsi="Arial"/>
                <w:b/>
                <w:bCs/>
                <w:sz w:val="20"/>
                <w:lang w:val="it-IT"/>
              </w:rPr>
              <w:t>articolo in rivista</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 xml:space="preserve">Titolo </w:t>
            </w:r>
            <w:r>
              <w:rPr>
                <w:rFonts w:cs="Arial" w:ascii="Arial" w:hAnsi="Arial"/>
                <w:b/>
                <w:bCs/>
                <w:sz w:val="20"/>
              </w:rPr>
              <w:t>Sentinel-2 Remote Sensed Image Classification with Patchwise Trained ConvNets for Grassland Habitat Discrimination</w:t>
            </w:r>
          </w:p>
          <w:p>
            <w:pPr>
              <w:pStyle w:val="TableParagraph"/>
              <w:spacing w:lineRule="auto" w:line="240"/>
              <w:ind w:left="0" w:hanging="0"/>
              <w:rPr>
                <w:rFonts w:ascii="Arial" w:hAnsi="Arial" w:cs="Arial"/>
                <w:sz w:val="20"/>
              </w:rPr>
            </w:pPr>
            <w:r>
              <w:rPr>
                <w:rFonts w:cs="Arial" w:ascii="Arial" w:hAnsi="Arial"/>
                <w:sz w:val="20"/>
              </w:rPr>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 xml:space="preserve">Elenco autori: </w:t>
            </w:r>
            <w:r>
              <w:rPr>
                <w:rFonts w:cs="Arial" w:ascii="Arial" w:hAnsi="Arial"/>
                <w:b/>
                <w:bCs/>
                <w:sz w:val="20"/>
                <w:lang w:val="it-IT"/>
              </w:rPr>
              <w:t xml:space="preserve">Paolo Fazzini, Giuseppina De Felice Proia, Maria Adamo, Palma Blonda, Francesco Petracchini, Luigi Forte </w:t>
            </w:r>
            <w:r>
              <w:rPr>
                <w:rFonts w:eastAsia="Arial MT" w:cs="Arial" w:ascii="Arial" w:hAnsi="Arial"/>
                <w:b/>
                <w:bCs/>
                <w:sz w:val="20"/>
                <w:lang w:val="it-IT"/>
              </w:rPr>
              <w:t>e</w:t>
            </w:r>
            <w:r>
              <w:rPr>
                <w:rFonts w:cs="Arial" w:ascii="Arial" w:hAnsi="Arial"/>
                <w:b/>
                <w:bCs/>
                <w:sz w:val="20"/>
                <w:lang w:val="it-IT"/>
              </w:rPr>
              <w:t xml:space="preserve"> Cristina Tarantino</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Ruolo svolto (autore principale;primo autore;ultimo autore;corresponding author; primo autore alla pari, coautore): </w:t>
            </w:r>
            <w:r>
              <w:rPr>
                <w:rFonts w:cs="Arial" w:ascii="Arial" w:hAnsi="Arial"/>
                <w:b/>
                <w:bCs/>
                <w:sz w:val="20"/>
                <w:lang w:val="it-IT"/>
              </w:rPr>
              <w:t>autore principale e primo autore</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Rivista </w:t>
            </w:r>
            <w:r>
              <w:rPr>
                <w:rFonts w:cs="Arial" w:ascii="Arial" w:hAnsi="Arial"/>
                <w:b/>
                <w:bCs/>
                <w:i w:val="false"/>
                <w:sz w:val="20"/>
                <w:lang w:val="it-IT"/>
              </w:rPr>
              <w:t>Remote Sensing (MDPI)</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Anno pubblicazione </w:t>
            </w:r>
            <w:r>
              <w:rPr>
                <w:rFonts w:cs="Arial" w:ascii="Arial" w:hAnsi="Arial"/>
                <w:b/>
                <w:bCs/>
                <w:sz w:val="20"/>
                <w:lang w:val="it-IT"/>
              </w:rPr>
              <w:t>2021</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Pagine: </w:t>
            </w:r>
            <w:r>
              <w:rPr>
                <w:rFonts w:cs="Arial" w:ascii="Arial" w:hAnsi="Arial"/>
                <w:b/>
                <w:bCs/>
                <w:sz w:val="20"/>
                <w:lang w:val="it-IT"/>
              </w:rPr>
              <w:t>21</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Codice identificativo (ISSN)</w:t>
            </w:r>
            <w:r>
              <w:rPr>
                <w:rFonts w:cs="Arial" w:ascii="Arial" w:hAnsi="Arial"/>
                <w:sz w:val="20"/>
                <w:u w:val="none"/>
                <w:lang w:val="it-IT"/>
              </w:rPr>
              <w:t xml:space="preserve"> </w:t>
            </w:r>
            <w:hyperlink r:id="rId2">
              <w:r>
                <w:rPr>
                  <w:rStyle w:val="InternetLink"/>
                  <w:rFonts w:cs="Arial" w:ascii="Arial" w:hAnsi="Arial"/>
                  <w:b/>
                  <w:bCs/>
                  <w:sz w:val="20"/>
                  <w:u w:val="none"/>
                </w:rPr>
                <w:t>2072-4292</w:t>
              </w:r>
            </w:hyperlink>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DOI </w:t>
            </w:r>
            <w:r>
              <w:rPr>
                <w:rFonts w:cs="Arial" w:ascii="Arial" w:hAnsi="Arial"/>
                <w:b/>
                <w:bCs/>
                <w:sz w:val="20"/>
                <w:lang w:val="it-IT"/>
              </w:rPr>
              <w:t>https://doi.org/10.3390/rs13122276</w:t>
            </w:r>
          </w:p>
        </w:tc>
      </w:tr>
      <w:tr>
        <w:trPr>
          <w:trHeight w:val="25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Lingua del prodotto </w:t>
            </w:r>
            <w:r>
              <w:rPr>
                <w:rFonts w:cs="Arial" w:ascii="Arial" w:hAnsi="Arial"/>
                <w:b/>
                <w:bCs/>
                <w:sz w:val="20"/>
                <w:lang w:val="it-IT"/>
              </w:rPr>
              <w:t>Inglese</w:t>
            </w:r>
          </w:p>
        </w:tc>
      </w:tr>
      <w:tr>
        <w:trPr>
          <w:trHeight w:val="251"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Abstract (MCSI 1000):</w:t>
              <w:br/>
            </w:r>
            <w:r>
              <w:rPr>
                <w:rFonts w:cs="Arial" w:ascii="Arial" w:hAnsi="Arial"/>
                <w:b/>
                <w:bCs/>
                <w:sz w:val="20"/>
                <w:lang w:val="en-US"/>
              </w:rPr>
              <w:t>The present study focuses on the use of Convolutional Neural Networks (CNN or ConvNet)</w:t>
            </w:r>
          </w:p>
          <w:p>
            <w:pPr>
              <w:pStyle w:val="TableParagraph"/>
              <w:spacing w:lineRule="auto" w:line="240"/>
              <w:ind w:left="0" w:hanging="0"/>
              <w:rPr>
                <w:b/>
                <w:b/>
                <w:bCs/>
                <w:lang w:val="en-US"/>
              </w:rPr>
            </w:pPr>
            <w:r>
              <w:rPr>
                <w:rFonts w:cs="Arial" w:ascii="Arial" w:hAnsi="Arial"/>
                <w:b/>
                <w:bCs/>
                <w:sz w:val="20"/>
                <w:lang w:val="en-US"/>
              </w:rPr>
              <w:t>to classify a multi-seasonal dataset of Sentinel-2 images to discriminate four grassland habitats in</w:t>
            </w:r>
          </w:p>
          <w:p>
            <w:pPr>
              <w:pStyle w:val="TableParagraph"/>
              <w:spacing w:lineRule="auto" w:line="240"/>
              <w:ind w:left="0" w:hanging="0"/>
              <w:rPr>
                <w:b/>
                <w:b/>
                <w:bCs/>
                <w:lang w:val="en-US"/>
              </w:rPr>
            </w:pPr>
            <w:r>
              <w:rPr>
                <w:rFonts w:cs="Arial" w:ascii="Arial" w:hAnsi="Arial"/>
                <w:b/>
                <w:bCs/>
                <w:sz w:val="20"/>
                <w:lang w:val="en-US"/>
              </w:rPr>
              <w:t>the “Murgia Alta” protected site. To this end, we compared two approaches differing only by the</w:t>
            </w:r>
          </w:p>
          <w:p>
            <w:pPr>
              <w:pStyle w:val="TableParagraph"/>
              <w:spacing w:lineRule="auto" w:line="240"/>
              <w:ind w:left="0" w:hanging="0"/>
              <w:rPr>
                <w:b/>
                <w:b/>
                <w:bCs/>
                <w:lang w:val="en-US"/>
              </w:rPr>
            </w:pPr>
            <w:r>
              <w:rPr>
                <w:rFonts w:cs="Arial" w:ascii="Arial" w:hAnsi="Arial"/>
                <w:b/>
                <w:bCs/>
                <w:sz w:val="20"/>
                <w:lang w:val="en-US"/>
              </w:rPr>
              <w:t>first layer machinery, which, in one case, is instantiated as a fully-connected layer and, in the other</w:t>
            </w:r>
          </w:p>
          <w:p>
            <w:pPr>
              <w:pStyle w:val="TableParagraph"/>
              <w:spacing w:lineRule="auto" w:line="240"/>
              <w:ind w:left="0" w:hanging="0"/>
              <w:rPr>
                <w:b/>
                <w:b/>
                <w:bCs/>
                <w:lang w:val="en-US"/>
              </w:rPr>
            </w:pPr>
            <w:r>
              <w:rPr>
                <w:rFonts w:cs="Arial" w:ascii="Arial" w:hAnsi="Arial"/>
                <w:b/>
                <w:bCs/>
                <w:sz w:val="20"/>
                <w:lang w:val="en-US"/>
              </w:rPr>
              <w:t>case, results in a ConvNet equipped with kernels covering the whole input (wide-kernel ConvNet).</w:t>
            </w:r>
          </w:p>
          <w:p>
            <w:pPr>
              <w:pStyle w:val="TableParagraph"/>
              <w:spacing w:lineRule="auto" w:line="240"/>
              <w:ind w:left="0" w:hanging="0"/>
              <w:rPr>
                <w:b/>
                <w:b/>
                <w:bCs/>
                <w:lang w:val="en-US"/>
              </w:rPr>
            </w:pPr>
            <w:r>
              <w:rPr>
                <w:rFonts w:cs="Arial" w:ascii="Arial" w:hAnsi="Arial"/>
                <w:b/>
                <w:bCs/>
                <w:sz w:val="20"/>
                <w:lang w:val="en-US"/>
              </w:rPr>
              <w:t>A patchwise approach, tessellating training reference data in square patches, was adopted. Besides</w:t>
            </w:r>
          </w:p>
          <w:p>
            <w:pPr>
              <w:pStyle w:val="TableParagraph"/>
              <w:spacing w:lineRule="auto" w:line="240"/>
              <w:ind w:left="0" w:hanging="0"/>
              <w:rPr>
                <w:b/>
                <w:b/>
                <w:bCs/>
                <w:lang w:val="en-US"/>
              </w:rPr>
            </w:pPr>
            <w:r>
              <w:rPr>
                <w:rFonts w:cs="Arial" w:ascii="Arial" w:hAnsi="Arial"/>
                <w:b/>
                <w:bCs/>
                <w:sz w:val="20"/>
                <w:lang w:val="en-US"/>
              </w:rPr>
              <w:t>assessing the effectiveness of ConvNets with patched multispectral data, we analyzed how the</w:t>
            </w:r>
          </w:p>
          <w:p>
            <w:pPr>
              <w:pStyle w:val="TableParagraph"/>
              <w:spacing w:lineRule="auto" w:line="240"/>
              <w:ind w:left="0" w:hanging="0"/>
              <w:rPr>
                <w:lang w:val="en-US"/>
              </w:rPr>
            </w:pPr>
            <w:r>
              <w:rPr>
                <w:rFonts w:cs="Arial" w:ascii="Arial" w:hAnsi="Arial"/>
                <w:b/>
                <w:bCs/>
                <w:sz w:val="20"/>
                <w:lang w:val="en-US"/>
              </w:rPr>
              <w:t>information needed for classification spreads to patterns over convex sets of pixels. Our results show that: (a) with an F1-score of around 97% (5 × 5 patch size), ConvNets provides an excellent tool for patch-based pattern recognition with multispectral input data without requiring special feature extraction; (b) the information spreads over the limit of a single pixel: the performance of the network increases until 5 × 5 patch sizes are used and then ConvNet performance starts decreasing.</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Parole chiave (max 5): </w:t>
            </w:r>
            <w:r>
              <w:rPr>
                <w:rFonts w:cs="Arial" w:ascii="Arial" w:hAnsi="Arial"/>
                <w:b/>
                <w:bCs/>
                <w:sz w:val="20"/>
                <w:lang w:val="it-IT"/>
              </w:rPr>
              <w:t>grassland; habitat mapping; Sentinel-2; convolutional neural network</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Descrittori ERC (terzo livello, max 3): </w:t>
            </w:r>
            <w:r>
              <w:rPr>
                <w:rFonts w:cs="Arial" w:ascii="Arial" w:hAnsi="Arial"/>
                <w:b/>
                <w:bCs/>
                <w:sz w:val="20"/>
                <w:lang w:val="it-IT"/>
              </w:rPr>
              <w:t>PE6_11 Machine learning, statistical data processing and applications using signal processing</w:t>
            </w:r>
          </w:p>
        </w:tc>
      </w:tr>
      <w:tr>
        <w:trPr>
          <w:trHeight w:val="26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b w:val="false"/>
                <w:bCs w:val="false"/>
                <w:sz w:val="20"/>
                <w:lang w:val="it-IT"/>
              </w:rPr>
              <w:t>Impatto descritto in forma narrativa, supportato da indicatori se ritenuto rilevante (MCSI 1000):</w:t>
            </w:r>
            <w:r>
              <w:rPr>
                <w:rFonts w:cs="Arial" w:ascii="Arial" w:hAnsi="Arial"/>
                <w:b/>
                <w:bCs/>
                <w:sz w:val="20"/>
                <w:lang w:val="it-IT"/>
              </w:rPr>
              <w:br/>
              <w:t xml:space="preserve">La ricerca presenta </w:t>
            </w:r>
            <w:r>
              <w:rPr>
                <w:rFonts w:eastAsia="Arial MT" w:cs="Arial" w:ascii="Arial" w:hAnsi="Arial"/>
                <w:b/>
                <w:bCs/>
                <w:sz w:val="20"/>
                <w:lang w:val="it-IT"/>
              </w:rPr>
              <w:t>l’</w:t>
            </w:r>
            <w:r>
              <w:rPr>
                <w:rStyle w:val="StrongEmphasis"/>
                <w:rFonts w:cs="Arial" w:ascii="Arial" w:hAnsi="Arial"/>
                <w:b/>
                <w:bCs/>
                <w:sz w:val="20"/>
                <w:lang w:val="it-IT"/>
              </w:rPr>
              <w:t>utilizzo di CNN per la mappatura automatica degli habitat di prateria</w:t>
            </w:r>
            <w:r>
              <w:rPr>
                <w:rFonts w:cs="Arial" w:ascii="Arial" w:hAnsi="Arial"/>
                <w:b/>
                <w:bCs/>
                <w:sz w:val="20"/>
                <w:lang w:val="it-IT"/>
              </w:rPr>
              <w:t xml:space="preserve">. L'approccio patch-wise sviluppato raggiunge </w:t>
            </w:r>
            <w:r>
              <w:rPr>
                <w:rStyle w:val="StrongEmphasis"/>
                <w:rFonts w:cs="Arial" w:ascii="Arial" w:hAnsi="Arial"/>
                <w:b/>
                <w:bCs/>
                <w:sz w:val="20"/>
                <w:lang w:val="it-IT"/>
              </w:rPr>
              <w:t>F1-score del 97%</w:t>
            </w:r>
            <w:r>
              <w:rPr>
                <w:rFonts w:cs="Arial" w:ascii="Arial" w:hAnsi="Arial"/>
                <w:b/>
                <w:bCs/>
                <w:sz w:val="20"/>
                <w:lang w:val="it-IT"/>
              </w:rPr>
              <w:t xml:space="preserve"> (patch 5×5), superando significativamente i metodi tradizionali: Random Forest otteneva 66-78% di accuratezza, SVM raggiungeva F1-score di 89.11% per Type_1 habitat, mentre le CNN conseguono 97-100% per tutti i tipi. L'impatto si manifesta nella </w:t>
            </w:r>
            <w:r>
              <w:rPr>
                <w:rStyle w:val="StrongEmphasis"/>
                <w:rFonts w:cs="Arial" w:ascii="Arial" w:hAnsi="Arial"/>
                <w:b/>
                <w:bCs/>
                <w:sz w:val="20"/>
                <w:lang w:val="it-IT"/>
              </w:rPr>
              <w:t>conservazione del sito Natura 2000 "Murgia Alta"</w:t>
            </w:r>
            <w:r>
              <w:rPr>
                <w:rFonts w:cs="Arial" w:ascii="Arial" w:hAnsi="Arial"/>
                <w:b/>
                <w:bCs/>
                <w:sz w:val="20"/>
                <w:lang w:val="it-IT"/>
              </w:rPr>
              <w:t>, ecosistema minacciato da degradazione e frammentazione. La metodologia consente monitoraggio automatizzato di quattro habitat critici che ospitano specie endemiche e rare, fornendo strumenti operativi per decisioni tempestive.</w:t>
            </w:r>
          </w:p>
          <w:p>
            <w:pPr>
              <w:pStyle w:val="TableParagraph"/>
              <w:spacing w:lineRule="auto" w:line="240"/>
              <w:ind w:left="0" w:hanging="0"/>
              <w:rPr>
                <w:lang w:val="it-IT"/>
              </w:rPr>
            </w:pPr>
            <w:r>
              <w:rPr>
                <w:rStyle w:val="StrongEmphasis"/>
                <w:rFonts w:cs="Arial" w:ascii="Arial" w:hAnsi="Arial"/>
                <w:b/>
                <w:bCs/>
                <w:sz w:val="20"/>
                <w:lang w:val="it-IT"/>
              </w:rPr>
              <w:t>Innovazione metodologica</w:t>
            </w:r>
            <w:r>
              <w:rPr>
                <w:rFonts w:cs="Arial" w:ascii="Arial" w:hAnsi="Arial"/>
                <w:b/>
                <w:bCs/>
                <w:sz w:val="20"/>
                <w:lang w:val="it-IT"/>
              </w:rPr>
              <w:t>: dimostrazione che l'informazione per classificazione si diffonde oltre il singolo pixel, con performance ottimali a 5×5 patch. L'uso combinato di dati Sentinel-2 multi-stagionali e multispettrali offre risultati incoraggianti per il monitoraggio automatizzato degli habitat mediterranei.</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 xml:space="preserve">A chi è rivolto (audience) (MCSI 250): </w:t>
            </w:r>
            <w:r>
              <w:rPr>
                <w:rFonts w:eastAsia="Arial MT" w:cs="Arial" w:ascii="Arial" w:hAnsi="Arial"/>
                <w:b/>
                <w:bCs/>
                <w:sz w:val="20"/>
                <w:lang w:val="it-IT"/>
              </w:rPr>
              <w:t>Ricercatori, decisori politici e stakeholder pubblici/privati, enti gestori di parchi (nazionali e regionali), istituzioni accademiche e centri di ricerca, industrie interessate all’EO/monitoraggio ambientale e ONG (con comunità locali).</w:t>
            </w:r>
          </w:p>
        </w:tc>
      </w:tr>
      <w:tr>
        <w:trPr>
          <w:trHeight w:val="28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Indicare se il prodotto ha superato un processo di revisione tra pari: </w:t>
            </w:r>
            <w:r>
              <w:rPr>
                <w:rFonts w:cs="Arial" w:ascii="Arial" w:hAnsi="Arial"/>
                <w:b/>
                <w:bCs/>
                <w:sz w:val="20"/>
                <w:lang w:val="it-IT"/>
              </w:rPr>
              <w:t>Sì</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b/>
                <w:b/>
                <w:bCs/>
                <w:lang w:val="it-IT"/>
              </w:rPr>
            </w:pPr>
            <w:r>
              <w:rPr>
                <w:rFonts w:cs="Arial" w:ascii="Arial" w:hAnsi="Arial"/>
                <w:b/>
                <w:bCs/>
                <w:sz w:val="20"/>
                <w:lang w:val="it-IT"/>
              </w:rPr>
              <w:t xml:space="preserve">Link a dati associati (DOI o URL, se disponibile): </w:t>
            </w:r>
            <w:r>
              <w:rPr>
                <w:rFonts w:cs="Arial" w:ascii="Arial" w:hAnsi="Arial"/>
                <w:b/>
                <w:bCs/>
                <w:sz w:val="20"/>
                <w:u w:val="none"/>
                <w:lang w:val="it-IT"/>
              </w:rPr>
              <w:t>DOI: https://doi.org/10.3390/rs13122276, URL: https://www.mdpi.com/2072-4292/13/12/2276</w:t>
            </w:r>
          </w:p>
        </w:tc>
      </w:tr>
      <w:tr>
        <w:trPr>
          <w:trHeight w:val="86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jc w:val="both"/>
              <w:rPr>
                <w:lang w:val="it-IT"/>
              </w:rPr>
            </w:pPr>
            <w:r>
              <w:rPr>
                <w:rFonts w:cs="Arial" w:ascii="Arial" w:hAnsi="Arial"/>
                <w:sz w:val="20"/>
                <w:lang w:val="it-IT"/>
              </w:rPr>
              <w:t xml:space="preserve">Tipo di accessibilità (selezionare le opzioni rilevanti): </w:t>
            </w:r>
            <w:r>
              <w:rPr>
                <w:rFonts w:cs="Arial" w:ascii="Arial" w:hAnsi="Arial"/>
                <w:b/>
                <w:bCs/>
                <w:sz w:val="20"/>
                <w:lang w:val="it-IT"/>
              </w:rPr>
              <w:t>Riviste Open Access: il prodotto è liberamente e gratuitamente accessibile su piattaforma della casa editrice MDPI e della rivista Remote Sensing (</w:t>
            </w:r>
            <w:r>
              <w:rPr>
                <w:rFonts w:cs="Arial" w:ascii="Arial" w:hAnsi="Arial"/>
                <w:b/>
                <w:bCs/>
                <w:sz w:val="20"/>
                <w:u w:val="none"/>
                <w:lang w:val="it-IT"/>
              </w:rPr>
              <w:t>https://doi.org/10.3390/rs13122276</w:t>
            </w:r>
            <w:r>
              <w:rPr>
                <w:rFonts w:cs="Arial" w:ascii="Arial" w:hAnsi="Arial"/>
                <w:b/>
                <w:bCs/>
                <w:sz w:val="20"/>
                <w:lang w:val="it-IT"/>
              </w:rPr>
              <w:t>).</w:t>
            </w:r>
          </w:p>
        </w:tc>
      </w:tr>
      <w:tr>
        <w:trPr>
          <w:trHeight w:val="134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pPr>
            <w:r>
              <w:rPr>
                <w:rFonts w:cs="Arial" w:ascii="Arial" w:hAnsi="Arial"/>
                <w:sz w:val="20"/>
                <w:lang w:val="it-IT"/>
              </w:rPr>
              <w:t xml:space="preserve">Specificare se il prodotto si riferisce ad aree emergenti, di forte specializzazione o marcatamente interdisciplinari: (MCSI 500): </w:t>
              <w:br/>
            </w:r>
            <w:r>
              <w:rPr>
                <w:rStyle w:val="StrongEmphasis"/>
                <w:rFonts w:cs="Arial" w:ascii="Arial" w:hAnsi="Arial"/>
                <w:b/>
                <w:bCs/>
                <w:sz w:val="20"/>
              </w:rPr>
              <w:t>Area emergente</w:t>
            </w:r>
            <w:r>
              <w:rPr>
                <w:rFonts w:cs="Arial" w:ascii="Arial" w:hAnsi="Arial"/>
                <w:b/>
                <w:bCs/>
                <w:sz w:val="20"/>
              </w:rPr>
              <w:t xml:space="preserve">: L'applicazione di Deep Learning e CNN al telerilevamento rappresenta un campo in rapida espansione. La ricerca </w:t>
            </w:r>
            <w:r>
              <w:rPr>
                <w:rFonts w:eastAsia="Arial MT" w:cs="Arial" w:ascii="Arial" w:hAnsi="Arial"/>
                <w:b/>
                <w:bCs/>
                <w:sz w:val="20"/>
              </w:rPr>
              <w:t>presenta</w:t>
            </w:r>
            <w:r>
              <w:rPr>
                <w:rFonts w:cs="Arial" w:ascii="Arial" w:hAnsi="Arial"/>
                <w:b/>
                <w:bCs/>
                <w:sz w:val="20"/>
              </w:rPr>
              <w:t xml:space="preserve"> </w:t>
            </w:r>
            <w:r>
              <w:rPr>
                <w:rFonts w:eastAsia="Arial MT" w:cs="Arial" w:ascii="Arial" w:hAnsi="Arial"/>
                <w:b/>
                <w:bCs/>
                <w:sz w:val="20"/>
              </w:rPr>
              <w:t xml:space="preserve">l’utilizzo </w:t>
            </w:r>
            <w:r>
              <w:rPr>
                <w:rFonts w:cs="Arial" w:ascii="Arial" w:hAnsi="Arial"/>
                <w:b/>
                <w:bCs/>
                <w:sz w:val="20"/>
              </w:rPr>
              <w:t>utilizzo di CNN per mappatura automatica habitat grassland, posizionandosi all'avanguardia di questa disciplina emergente.</w:t>
              <w:br/>
            </w:r>
          </w:p>
          <w:p>
            <w:pPr>
              <w:pStyle w:val="TextBody"/>
              <w:spacing w:before="0" w:after="283"/>
              <w:rPr/>
            </w:pPr>
            <w:r>
              <w:rPr>
                <w:rStyle w:val="StrongEmphasis"/>
                <w:b/>
                <w:bCs/>
              </w:rPr>
              <w:t>Forte specializzazione</w:t>
            </w:r>
            <w:r>
              <w:rPr>
                <w:b/>
                <w:bCs/>
              </w:rPr>
              <w:t>: Richiede competenze specifiche in machine learning, elaborazione immagini satellitari Sentinel-2, ecologia vegetale e classificazione habitat. La metodologia patch-wise e l'ottimizzazione delle CNN richiedono expertise tecnica avanzata.</w:t>
            </w:r>
          </w:p>
          <w:p>
            <w:pPr>
              <w:pStyle w:val="TextBody"/>
              <w:spacing w:before="0" w:after="283"/>
              <w:rPr/>
            </w:pPr>
            <w:r>
              <w:rPr>
                <w:rStyle w:val="StrongEmphasis"/>
                <w:b/>
                <w:bCs/>
              </w:rPr>
              <w:t>Marcata interdisciplinarità</w:t>
            </w:r>
            <w:r>
              <w:rPr>
                <w:b/>
                <w:bCs/>
              </w:rPr>
              <w:t>: Integra discipline quali: informatica (reti neurali, algoritmi), scienze della Terra (telerilevamento, GIS), ecologia (fitosociologia, habitat mapping), botanica (comunità vegetali mediterranee), e scienze ambientali (conservazione Natura). La ricerca combina metodologie computazionali avanzate con expertise ecologica per rispondere a sfide conservazionistiche concrete.</w:t>
            </w:r>
          </w:p>
          <w:p>
            <w:pPr>
              <w:pStyle w:val="TableParagraph"/>
              <w:spacing w:lineRule="auto" w:line="240"/>
              <w:ind w:left="0" w:hanging="0"/>
              <w:rPr>
                <w:lang w:val="it-IT"/>
              </w:rPr>
            </w:pPr>
            <w:r>
              <w:rPr>
                <w:rFonts w:cs="Arial" w:ascii="Arial" w:hAnsi="Arial"/>
                <w:sz w:val="20"/>
                <w:lang w:val="it-IT"/>
              </w:rPr>
              <w:br/>
              <w:br/>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lang w:val="it-IT"/>
              </w:rPr>
            </w:pPr>
            <w:r>
              <w:rPr>
                <w:rFonts w:cs="Arial" w:ascii="Arial" w:hAnsi="Arial"/>
                <w:sz w:val="20"/>
                <w:lang w:val="it-IT"/>
              </w:rPr>
              <w:t xml:space="preserve">Altre informazioni: (MCSI 500) </w:t>
            </w:r>
            <w:r>
              <w:rPr>
                <w:rFonts w:cs="Arial" w:ascii="Arial" w:hAnsi="Arial"/>
                <w:b/>
                <w:bCs/>
                <w:sz w:val="20"/>
                <w:lang w:val="it-IT"/>
              </w:rPr>
              <w:t xml:space="preserve">Quartile rivista Q1 </w:t>
            </w:r>
            <w:r>
              <w:rPr>
                <w:rFonts w:eastAsia="Arial MT" w:cs="Arial" w:ascii="Arial" w:hAnsi="Arial"/>
                <w:b/>
                <w:bCs/>
                <w:color w:val="auto"/>
                <w:kern w:val="0"/>
                <w:sz w:val="20"/>
                <w:szCs w:val="22"/>
                <w:lang w:val="it-IT" w:eastAsia="en-US" w:bidi="ar-SA"/>
              </w:rPr>
              <w:t xml:space="preserve">via </w:t>
            </w:r>
            <w:r>
              <w:rPr>
                <w:rFonts w:cs="Arial" w:ascii="Arial" w:hAnsi="Arial"/>
                <w:b/>
                <w:bCs/>
                <w:sz w:val="20"/>
                <w:lang w:val="it-IT"/>
              </w:rPr>
              <w:t>Scimago Journal &amp; Country Rank (SJR)</w:t>
            </w:r>
          </w:p>
        </w:tc>
      </w:tr>
    </w:tbl>
    <w:p>
      <w:pPr>
        <w:pStyle w:val="Normal"/>
        <w:rPr>
          <w:rFonts w:ascii="Arial" w:hAnsi="Arial" w:cs="Arial"/>
          <w:sz w:val="24"/>
          <w:szCs w:val="24"/>
          <w:lang w:val="it-IT"/>
        </w:rPr>
      </w:pPr>
      <w:r>
        <w:rPr>
          <w:rFonts w:cs="Arial" w:ascii="Arial" w:hAnsi="Arial"/>
          <w:sz w:val="24"/>
          <w:szCs w:val="24"/>
          <w:lang w:val="it-IT"/>
        </w:rPr>
      </w:r>
    </w:p>
    <w:p>
      <w:pPr>
        <w:pStyle w:val="Normal"/>
        <w:rPr>
          <w:rFonts w:ascii="Arial" w:hAnsi="Arial" w:cs="Arial"/>
          <w:sz w:val="24"/>
          <w:szCs w:val="24"/>
          <w:lang w:val="it-IT"/>
        </w:rPr>
      </w:pPr>
      <w:r>
        <w:rPr>
          <w:rFonts w:cs="Arial" w:ascii="Arial" w:hAnsi="Arial"/>
          <w:sz w:val="24"/>
          <w:szCs w:val="24"/>
          <w:lang w:val="it-IT"/>
        </w:rPr>
      </w:r>
    </w:p>
    <w:p>
      <w:pPr>
        <w:pStyle w:val="Normal"/>
        <w:numPr>
          <w:ilvl w:val="0"/>
          <w:numId w:val="0"/>
        </w:numPr>
        <w:ind w:left="100" w:hanging="0"/>
        <w:rPr>
          <w:rFonts w:ascii="Arial" w:hAnsi="Arial" w:cs="Arial"/>
          <w:sz w:val="20"/>
        </w:rPr>
      </w:pPr>
      <w:r>
        <w:rPr>
          <w:rFonts w:cs="Arial" w:ascii="Arial" w:hAnsi="Arial"/>
          <w:sz w:val="20"/>
        </w:rPr>
      </w:r>
    </w:p>
    <w:tbl>
      <w:tblPr>
        <w:tblStyle w:val="TableNormal"/>
        <w:tblW w:w="9780" w:type="dxa"/>
        <w:jc w:val="left"/>
        <w:tblInd w:w="218" w:type="dxa"/>
        <w:tblCellMar>
          <w:top w:w="0" w:type="dxa"/>
          <w:left w:w="108" w:type="dxa"/>
          <w:bottom w:w="0" w:type="dxa"/>
          <w:right w:w="108" w:type="dxa"/>
        </w:tblCellMar>
        <w:tblLook w:val="01e0" w:noHBand="0" w:noVBand="0" w:firstColumn="1" w:lastRow="1" w:lastColumn="1" w:firstRow="1"/>
      </w:tblPr>
      <w:tblGrid>
        <w:gridCol w:w="9780"/>
      </w:tblGrid>
      <w:tr>
        <w:trPr>
          <w:trHeight w:val="23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b/>
                <w:b/>
                <w:sz w:val="20"/>
              </w:rPr>
            </w:pPr>
            <w:r>
              <w:rPr>
                <w:rFonts w:cs="Arial" w:ascii="Arial" w:hAnsi="Arial"/>
                <w:b/>
                <w:sz w:val="20"/>
              </w:rPr>
              <w:t>Nr 2</w:t>
            </w:r>
          </w:p>
        </w:tc>
      </w:tr>
      <w:tr>
        <w:trPr>
          <w:trHeight w:val="22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Tipologia prodotto: </w:t>
            </w:r>
            <w:r>
              <w:rPr>
                <w:rFonts w:cs="Arial" w:ascii="Arial" w:hAnsi="Arial"/>
                <w:b/>
                <w:bCs/>
                <w:sz w:val="20"/>
                <w:lang w:val="it-IT"/>
              </w:rPr>
              <w:t>articolo in rivista</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Titolo: </w:t>
            </w:r>
            <w:r>
              <w:rPr>
                <w:rFonts w:cs="Arial" w:ascii="Arial" w:hAnsi="Arial"/>
                <w:b/>
                <w:bCs/>
                <w:sz w:val="20"/>
              </w:rPr>
              <w:t>Enhanced forecasting of shipboard electrical power demand using multivariate input and variational mode decomposition with mode selection</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Elenco autori: </w:t>
            </w:r>
            <w:r>
              <w:rPr>
                <w:rFonts w:cs="Arial" w:ascii="Arial" w:hAnsi="Arial"/>
                <w:b/>
                <w:bCs/>
                <w:sz w:val="20"/>
              </w:rPr>
              <w:t xml:space="preserve">Paolo Fazzini, Giuseppe La Tona, Matteo Diez </w:t>
            </w:r>
            <w:r>
              <w:rPr>
                <w:rFonts w:eastAsia="Arial MT" w:cs="Arial" w:ascii="Arial" w:hAnsi="Arial"/>
                <w:b/>
                <w:bCs/>
                <w:sz w:val="20"/>
              </w:rPr>
              <w:t>e</w:t>
            </w:r>
            <w:r>
              <w:rPr>
                <w:rFonts w:cs="Arial" w:ascii="Arial" w:hAnsi="Arial"/>
                <w:b/>
                <w:bCs/>
                <w:sz w:val="20"/>
              </w:rPr>
              <w:t xml:space="preserve"> Maria Carmela Di Piazza</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Ruolo svolto (autore principale;primo autore;ultimo autore;corresponding author; primo autore alla pari, coautore): </w:t>
            </w:r>
            <w:r>
              <w:rPr>
                <w:rFonts w:cs="Arial" w:ascii="Arial" w:hAnsi="Arial"/>
                <w:b/>
                <w:bCs/>
                <w:sz w:val="20"/>
              </w:rPr>
              <w:t>autore principale e primo autore</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Rivista: </w:t>
            </w:r>
            <w:r>
              <w:rPr>
                <w:rFonts w:cs="Arial" w:ascii="Arial" w:hAnsi="Arial"/>
                <w:b/>
                <w:bCs/>
                <w:sz w:val="20"/>
              </w:rPr>
              <w:t>Scientific Reports (Springer Nature)</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Anno pubblicazione: </w:t>
            </w:r>
            <w:r>
              <w:rPr>
                <w:rFonts w:cs="Arial" w:ascii="Arial" w:hAnsi="Arial"/>
                <w:b/>
                <w:bCs/>
                <w:sz w:val="20"/>
              </w:rPr>
              <w:t>2025</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Pagine: </w:t>
            </w:r>
            <w:r>
              <w:rPr>
                <w:rFonts w:cs="Arial" w:ascii="Arial" w:hAnsi="Arial"/>
                <w:b/>
                <w:bCs/>
                <w:sz w:val="20"/>
              </w:rPr>
              <w:t>17</w:t>
            </w:r>
            <w:r>
              <w:rPr>
                <w:rFonts w:cs="Arial" w:ascii="Arial" w:hAnsi="Arial"/>
                <w:sz w:val="20"/>
              </w:rPr>
              <w:t xml:space="preserve"> </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Codice identificativo (ISSN): </w:t>
            </w:r>
            <w:r>
              <w:rPr>
                <w:rFonts w:cs="Arial" w:ascii="Arial" w:hAnsi="Arial"/>
                <w:b/>
                <w:sz w:val="20"/>
                <w:lang w:val="en-US"/>
              </w:rPr>
              <w:t>2045-2322</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DOI: </w:t>
            </w:r>
            <w:r>
              <w:rPr>
                <w:rFonts w:cs="Arial" w:ascii="Arial" w:hAnsi="Arial"/>
                <w:b/>
                <w:bCs/>
                <w:sz w:val="20"/>
              </w:rPr>
              <w:t>https://doi.org/10.1038/s41598-025-06153-z</w:t>
            </w:r>
          </w:p>
        </w:tc>
      </w:tr>
      <w:tr>
        <w:trPr>
          <w:trHeight w:val="25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Lingua del prodotto: </w:t>
            </w:r>
            <w:r>
              <w:rPr>
                <w:rFonts w:cs="Arial" w:ascii="Arial" w:hAnsi="Arial"/>
                <w:b/>
                <w:bCs/>
                <w:sz w:val="20"/>
              </w:rPr>
              <w:t>inglese</w:t>
            </w:r>
          </w:p>
        </w:tc>
      </w:tr>
      <w:tr>
        <w:trPr>
          <w:trHeight w:val="251"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Abstract (MCSI 1000): </w:t>
            </w:r>
            <w:r>
              <w:rPr>
                <w:rFonts w:cs="Arial" w:ascii="Arial" w:hAnsi="Arial"/>
                <w:b/>
                <w:bCs/>
                <w:sz w:val="20"/>
              </w:rPr>
              <w:t>Accurate forecasting of shipboard electricity demand is essential for optimizing Energy Management Systems (EMSs), which are crucial for efficient and profitable operation of shipboard power grids. To address this challenge, this paper introduces a novel hybrid forecasting approach that combines multivariate time series decomposition with Machine Learning (ML) techniques. Specifically, the method utilizes Long Short-Term Memory (LSTM) networks to generate forecasts from multivariate input time series that have been decomposed using a newly formulated Variational Mode Decomposition (VMD), termed Variational Mode Decomposition with Mode Selection (VMDMS). VMDMS enables a selective detection process, identifying modes across channels that synergistically enhance forecasting accuracy. The proposed hybrid forecasting method is validated using a dataset of electric power demand time series collected from a real-world large passenger ship. Experimental results confirm the effectiveness of the approach, extending the applicability of VMD to multivariate forecasting without imposing restrictive assumptions on the data. This work contributes to ongoing efforts in optimizing decomposition methods for predictive modeling in energy management, opening new avenues for improving shipboard power grid efficiency.</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Parole chiave (max 5): </w:t>
            </w:r>
            <w:r>
              <w:rPr>
                <w:rFonts w:cs="Arial" w:ascii="Arial" w:hAnsi="Arial"/>
                <w:b/>
                <w:bCs/>
                <w:sz w:val="20"/>
              </w:rPr>
              <w:t>Energy Management, Shipboard electrical power consumption, Forecasting, Machine Learning, Multivariate Forecasting, Variational Mode Decomposition</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Descrittori ERC (terzo livello, max 3): </w:t>
            </w:r>
            <w:r>
              <w:rPr>
                <w:rFonts w:cs="Arial" w:ascii="Arial" w:hAnsi="Arial"/>
                <w:b/>
                <w:bCs/>
                <w:sz w:val="20"/>
                <w:lang w:val="it-IT"/>
              </w:rPr>
              <w:t>PE6_11 Machine learning, statistical data processing and applications using signal processing</w:t>
            </w:r>
          </w:p>
        </w:tc>
      </w:tr>
      <w:tr>
        <w:trPr>
          <w:trHeight w:val="26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Impatto descritto in forma narrativa, supportato da indicatori se ritenuto rilevante (MCSI 1000): </w:t>
            </w:r>
            <w:r>
              <w:rPr>
                <w:rFonts w:cs="Arial" w:ascii="Arial" w:hAnsi="Arial"/>
                <w:b/>
                <w:bCs/>
                <w:sz w:val="20"/>
              </w:rPr>
              <w:t xml:space="preserve">La ricerca </w:t>
            </w:r>
            <w:r>
              <w:rPr>
                <w:rFonts w:eastAsia="Arial MT" w:cs="Arial" w:ascii="Arial" w:hAnsi="Arial"/>
                <w:b/>
                <w:bCs/>
                <w:sz w:val="20"/>
              </w:rPr>
              <w:t>presenta un nuovo algoritmo,</w:t>
            </w:r>
            <w:r>
              <w:rPr>
                <w:rFonts w:cs="Arial" w:ascii="Arial" w:hAnsi="Arial"/>
                <w:b/>
                <w:bCs/>
                <w:sz w:val="20"/>
              </w:rPr>
              <w:t xml:space="preserve"> VMDMS-LSTM, pensato per previsioni accurate nel medio termine. L’algoritmo è stato applicato al consumo elettrico navale, </w:t>
            </w:r>
            <w:r>
              <w:rPr>
                <w:rFonts w:eastAsia="Arial MT" w:cs="Arial" w:ascii="Arial" w:hAnsi="Arial"/>
                <w:b/>
                <w:bCs/>
                <w:sz w:val="20"/>
              </w:rPr>
              <w:t>al fine di mostrare le sue potenzialità nel campo</w:t>
            </w:r>
            <w:r>
              <w:rPr>
                <w:rFonts w:cs="Arial" w:ascii="Arial" w:hAnsi="Arial"/>
                <w:b/>
                <w:bCs/>
                <w:sz w:val="20"/>
              </w:rPr>
              <w:t xml:space="preserve"> sella decarbonizzazione del settore marittimo (3% emissioni globali). L'approccio ibrido supera limitazioni esistenti con performance NRMSE 1.59-4.86%, NMAE 1.47-3.70%, sMAPE 1.15-3.58% su orizzonti 2-8h (6-24h prima di un retraining). </w:t>
            </w:r>
            <w:r>
              <w:rPr>
                <w:rFonts w:eastAsia="Arial MT" w:cs="Arial" w:ascii="Arial" w:hAnsi="Arial"/>
                <w:b/>
                <w:bCs/>
                <w:color w:val="auto"/>
                <w:kern w:val="0"/>
                <w:sz w:val="20"/>
                <w:szCs w:val="22"/>
                <w:lang w:val="it-IT" w:eastAsia="en-US" w:bidi="ar-SA"/>
              </w:rPr>
              <w:t>Istruito</w:t>
            </w:r>
            <w:r>
              <w:rPr>
                <w:rFonts w:cs="Arial" w:ascii="Arial" w:hAnsi="Arial"/>
                <w:b/>
                <w:bCs/>
                <w:sz w:val="20"/>
              </w:rPr>
              <w:t xml:space="preserve"> su 122 giorni operativi reali, abilita sistemi energetici più efficienti con potenziale riduzione intensità carbonica fino 10%. Data l’impostazione dell’algoritmo che si basa su principi generali, la metodologia innovativa risulta trasferibile ad altri domini ad alta volatilità. Il codice sorgente rilasciato in open-source amplifica l’impatto scientifico del lavoro.</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A chi è rivolto (audience) (MCSI 250): </w:t>
            </w:r>
            <w:r>
              <w:rPr>
                <w:rFonts w:eastAsia="Arial MT" w:cs="Arial" w:ascii="Arial" w:hAnsi="Arial"/>
                <w:b/>
                <w:bCs/>
                <w:sz w:val="20"/>
              </w:rPr>
              <w:t>vista</w:t>
            </w:r>
            <w:r>
              <w:rPr>
                <w:rFonts w:cs="Arial" w:ascii="Arial" w:hAnsi="Arial"/>
                <w:b/>
                <w:bCs/>
                <w:sz w:val="20"/>
              </w:rPr>
              <w:t xml:space="preserve"> la natura generale dell’algoritmo il lavoro può essere utile a qualunque ente (</w:t>
            </w:r>
            <w:r>
              <w:rPr>
                <w:rFonts w:eastAsia="Arial MT" w:cs="Arial" w:ascii="Arial" w:hAnsi="Arial"/>
                <w:b/>
                <w:bCs/>
                <w:color w:val="auto"/>
                <w:kern w:val="0"/>
                <w:sz w:val="20"/>
                <w:szCs w:val="22"/>
                <w:lang w:val="it-IT" w:eastAsia="en-US" w:bidi="ar-SA"/>
              </w:rPr>
              <w:t>r</w:t>
            </w:r>
            <w:r>
              <w:rPr>
                <w:rFonts w:cs="Arial" w:ascii="Arial" w:hAnsi="Arial"/>
                <w:b/>
                <w:bCs/>
                <w:sz w:val="20"/>
              </w:rPr>
              <w:t>icercatori, industria) che ha bisogno di forecasting nel medio termine. Inoltre, dat</w:t>
            </w:r>
            <w:r>
              <w:rPr>
                <w:rFonts w:eastAsia="Arial MT" w:cs="Arial" w:ascii="Arial" w:hAnsi="Arial"/>
                <w:b/>
                <w:bCs/>
                <w:sz w:val="20"/>
              </w:rPr>
              <w:t>o</w:t>
            </w:r>
            <w:r>
              <w:rPr>
                <w:rFonts w:cs="Arial" w:ascii="Arial" w:hAnsi="Arial"/>
                <w:b/>
                <w:bCs/>
                <w:sz w:val="20"/>
              </w:rPr>
              <w:t xml:space="preserve"> il campo di applicazione  navale, il lavoro può essere utile specificatamente a </w:t>
            </w:r>
            <w:r>
              <w:rPr>
                <w:rFonts w:eastAsia="Arial MT" w:cs="Arial" w:ascii="Arial" w:hAnsi="Arial"/>
                <w:b/>
                <w:bCs/>
                <w:color w:val="auto"/>
                <w:kern w:val="0"/>
                <w:sz w:val="20"/>
                <w:szCs w:val="22"/>
                <w:lang w:val="it-IT" w:eastAsia="en-US" w:bidi="ar-SA"/>
              </w:rPr>
              <w:t>e</w:t>
            </w:r>
            <w:r>
              <w:rPr>
                <w:rFonts w:cs="Arial" w:ascii="Arial" w:hAnsi="Arial"/>
                <w:b/>
                <w:bCs/>
                <w:sz w:val="20"/>
              </w:rPr>
              <w:t>nergy managers, fornitori tech marine, compagnie navigazione, organizzazioni internazionali, software marittimo, utility portuali, gestori microgrid, accademie navali</w:t>
            </w:r>
          </w:p>
        </w:tc>
      </w:tr>
      <w:tr>
        <w:trPr>
          <w:trHeight w:val="28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Indicare se il prodotto ha superato un processo di revisione tra pari: </w:t>
            </w:r>
            <w:r>
              <w:rPr>
                <w:rFonts w:cs="Arial" w:ascii="Arial" w:hAnsi="Arial"/>
                <w:b/>
                <w:bCs/>
                <w:sz w:val="20"/>
              </w:rPr>
              <w:t>Si</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Link a dati associati (DOI o URL, se disponibile): </w:t>
            </w:r>
            <w:r>
              <w:rPr>
                <w:rFonts w:cs="Arial" w:ascii="Arial" w:hAnsi="Arial"/>
                <w:b/>
                <w:bCs/>
                <w:sz w:val="20"/>
                <w:u w:val="none"/>
              </w:rPr>
              <w:t>https://github.com/pfaz69/VMDMS (codice algoritmo)</w:t>
            </w:r>
          </w:p>
        </w:tc>
      </w:tr>
      <w:tr>
        <w:trPr>
          <w:trHeight w:val="252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jc w:val="both"/>
              <w:rPr>
                <w:rFonts w:ascii="Arial" w:hAnsi="Arial" w:cs="Arial"/>
                <w:sz w:val="20"/>
              </w:rPr>
            </w:pPr>
            <w:r>
              <w:rPr>
                <w:rFonts w:cs="Arial" w:ascii="Arial" w:hAnsi="Arial"/>
                <w:sz w:val="20"/>
              </w:rPr>
              <w:t xml:space="preserve">Tipo di accessibilità (selezionare le opzioni rilevanti): </w:t>
            </w:r>
            <w:r>
              <w:rPr>
                <w:rFonts w:cs="Arial" w:ascii="Arial" w:hAnsi="Arial"/>
                <w:b/>
                <w:bCs/>
                <w:sz w:val="20"/>
                <w:lang w:val="it-IT"/>
              </w:rPr>
              <w:t xml:space="preserve">Riviste Open Access: </w:t>
            </w:r>
            <w:r>
              <w:rPr>
                <w:rFonts w:cs="Arial" w:ascii="Arial" w:hAnsi="Arial"/>
                <w:b/>
                <w:bCs/>
                <w:sz w:val="20"/>
              </w:rPr>
              <w:t>il prodotto è liberamente e gratuitamente accessibile su piattaforma della casa editrice o della rivista (DOI: https://doi.org/10.1038/s41598-025-06153-z).</w:t>
            </w:r>
          </w:p>
          <w:p>
            <w:pPr>
              <w:pStyle w:val="TableParagraph"/>
              <w:numPr>
                <w:ilvl w:val="0"/>
                <w:numId w:val="0"/>
              </w:numPr>
              <w:spacing w:lineRule="auto" w:line="240"/>
              <w:ind w:left="100" w:hanging="0"/>
              <w:jc w:val="both"/>
              <w:rPr>
                <w:b/>
                <w:b/>
                <w:bCs/>
              </w:rPr>
            </w:pPr>
            <w:r>
              <w:rPr>
                <w:b/>
                <w:bCs/>
              </w:rPr>
            </w:r>
          </w:p>
        </w:tc>
      </w:tr>
      <w:tr>
        <w:trPr>
          <w:trHeight w:val="52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spacing w:lineRule="auto" w:line="240"/>
              <w:ind w:left="0" w:hanging="0"/>
              <w:rPr>
                <w:rFonts w:ascii="Arial" w:hAnsi="Arial" w:cs="Arial"/>
                <w:sz w:val="20"/>
              </w:rPr>
            </w:pPr>
            <w:r>
              <w:rPr>
                <w:rFonts w:cs="Arial" w:ascii="Arial" w:hAnsi="Arial"/>
                <w:sz w:val="20"/>
              </w:rPr>
              <w:t xml:space="preserve">Specificare se il prodotto si riferisce ad aree emergenti, di forte specializzazione o marcatamente interdisciplinari: (MCSI 500): </w:t>
            </w:r>
            <w:r>
              <w:rPr>
                <w:rFonts w:cs="Arial" w:ascii="Arial" w:hAnsi="Arial"/>
                <w:b/>
                <w:bCs/>
                <w:sz w:val="20"/>
              </w:rPr>
              <w:t xml:space="preserve">Il prodotto si colloca in aree marcatamente interdisciplinari, integrando: - Ingegneria navale e sistemi energetici marittimi - Machine Learning e Deep Learning (LSTM) - Signal processing avanzato (VMD) - Analisi di serie temporali multivariata - Sostenibilità ambientale e decarbonizzazione. Rappresenta convergenza tra AI, ingegneria </w:t>
            </w:r>
            <w:r>
              <w:rPr>
                <w:rFonts w:eastAsia="Arial MT" w:cs="Arial" w:ascii="Arial" w:hAnsi="Arial"/>
                <w:b/>
                <w:bCs/>
                <w:color w:val="auto"/>
                <w:kern w:val="0"/>
                <w:sz w:val="20"/>
                <w:szCs w:val="22"/>
                <w:lang w:val="it-IT" w:eastAsia="en-US" w:bidi="ar-SA"/>
              </w:rPr>
              <w:t>del mare</w:t>
            </w:r>
            <w:r>
              <w:rPr>
                <w:rFonts w:cs="Arial" w:ascii="Arial" w:hAnsi="Arial"/>
                <w:b/>
                <w:bCs/>
                <w:sz w:val="20"/>
              </w:rPr>
              <w:t>, analisi dati e green technology, tipica delle sfide tecnologiche moderne che richiedono approcci multidisciplinari.</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numPr>
                <w:ilvl w:val="0"/>
                <w:numId w:val="0"/>
              </w:numPr>
              <w:spacing w:lineRule="auto" w:line="240"/>
              <w:ind w:left="100" w:hanging="0"/>
              <w:rPr>
                <w:rFonts w:ascii="Arial" w:hAnsi="Arial" w:cs="Arial"/>
                <w:sz w:val="20"/>
              </w:rPr>
            </w:pPr>
            <w:r>
              <w:rPr>
                <w:rFonts w:cs="Arial" w:ascii="Arial" w:hAnsi="Arial"/>
                <w:sz w:val="20"/>
              </w:rPr>
              <w:t xml:space="preserve">Altre informazioni: (MCSI 500) </w:t>
            </w:r>
            <w:r>
              <w:rPr>
                <w:rFonts w:cs="Arial" w:ascii="Arial" w:hAnsi="Arial"/>
                <w:b/>
                <w:bCs/>
                <w:sz w:val="20"/>
                <w:lang w:val="it-IT"/>
              </w:rPr>
              <w:t xml:space="preserve">Quartile rivista Q1 </w:t>
            </w:r>
            <w:r>
              <w:rPr>
                <w:rFonts w:eastAsia="Arial MT" w:cs="Arial" w:ascii="Arial" w:hAnsi="Arial"/>
                <w:b/>
                <w:bCs/>
                <w:color w:val="auto"/>
                <w:kern w:val="0"/>
                <w:sz w:val="20"/>
                <w:szCs w:val="22"/>
                <w:lang w:val="it-IT" w:eastAsia="en-US" w:bidi="ar-SA"/>
              </w:rPr>
              <w:t xml:space="preserve">via </w:t>
            </w:r>
            <w:r>
              <w:rPr>
                <w:rFonts w:cs="Arial" w:ascii="Arial" w:hAnsi="Arial"/>
                <w:b/>
                <w:bCs/>
                <w:sz w:val="20"/>
                <w:lang w:val="it-IT"/>
              </w:rPr>
              <w:t>Scimago Journal &amp; Country Rank (SJR)</w:t>
            </w:r>
          </w:p>
        </w:tc>
      </w:tr>
    </w:tbl>
    <w:p>
      <w:pPr>
        <w:pStyle w:val="Normal"/>
        <w:numPr>
          <w:ilvl w:val="0"/>
          <w:numId w:val="0"/>
        </w:numPr>
        <w:ind w:left="100" w:hanging="0"/>
        <w:rPr>
          <w:rFonts w:ascii="Arial" w:hAnsi="Arial" w:cs="Arial"/>
          <w:sz w:val="24"/>
          <w:szCs w:val="24"/>
        </w:rPr>
      </w:pPr>
      <w:r>
        <w:rPr>
          <w:rFonts w:cs="Arial" w:ascii="Arial" w:hAnsi="Arial"/>
          <w:sz w:val="24"/>
          <w:szCs w:val="24"/>
        </w:rPr>
      </w:r>
    </w:p>
    <w:p>
      <w:pPr>
        <w:pStyle w:val="Normal"/>
        <w:ind w:left="0" w:hanging="0"/>
        <w:rPr>
          <w:rFonts w:ascii="Arial" w:hAnsi="Arial" w:cs="Arial"/>
          <w:sz w:val="24"/>
          <w:szCs w:val="24"/>
        </w:rPr>
      </w:pPr>
      <w:r>
        <w:rPr>
          <w:rFonts w:cs="Arial" w:ascii="Arial" w:hAnsi="Arial"/>
          <w:sz w:val="24"/>
          <w:szCs w:val="24"/>
        </w:rPr>
      </w:r>
    </w:p>
    <w:p>
      <w:pPr>
        <w:pStyle w:val="Normal"/>
        <w:ind w:left="0" w:hanging="0"/>
        <w:rPr>
          <w:rFonts w:ascii="Arial" w:hAnsi="Arial" w:cs="Arial"/>
          <w:sz w:val="24"/>
          <w:szCs w:val="24"/>
        </w:rPr>
      </w:pPr>
      <w:r>
        <w:rPr>
          <w:rFonts w:cs="Arial" w:ascii="Arial" w:hAnsi="Arial"/>
          <w:sz w:val="24"/>
          <w:szCs w:val="24"/>
        </w:rPr>
      </w:r>
    </w:p>
    <w:p>
      <w:pPr>
        <w:pStyle w:val="Normal"/>
        <w:ind w:left="0" w:hanging="0"/>
        <w:rPr>
          <w:rFonts w:ascii="Arial" w:hAnsi="Arial" w:cs="Arial"/>
          <w:sz w:val="24"/>
          <w:szCs w:val="24"/>
        </w:rPr>
      </w:pPr>
      <w:r>
        <w:rPr>
          <w:rFonts w:cs="Arial" w:ascii="Arial" w:hAnsi="Arial"/>
          <w:sz w:val="24"/>
          <w:szCs w:val="24"/>
        </w:rPr>
      </w:r>
    </w:p>
    <w:tbl>
      <w:tblPr>
        <w:tblStyle w:val="TableNormal"/>
        <w:tblW w:w="9780" w:type="dxa"/>
        <w:jc w:val="left"/>
        <w:tblInd w:w="218" w:type="dxa"/>
        <w:tblCellMar>
          <w:top w:w="0" w:type="dxa"/>
          <w:left w:w="108" w:type="dxa"/>
          <w:bottom w:w="0" w:type="dxa"/>
          <w:right w:w="108" w:type="dxa"/>
        </w:tblCellMar>
        <w:tblLook w:val="01e0" w:noHBand="0" w:noVBand="0" w:firstColumn="1" w:lastRow="1" w:lastColumn="1" w:firstRow="1"/>
      </w:tblPr>
      <w:tblGrid>
        <w:gridCol w:w="9780"/>
      </w:tblGrid>
      <w:tr>
        <w:trPr>
          <w:trHeight w:val="23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b/>
                <w:b/>
                <w:sz w:val="20"/>
              </w:rPr>
            </w:pPr>
            <w:r>
              <w:rPr>
                <w:rFonts w:cs="Arial" w:ascii="Arial" w:hAnsi="Arial"/>
                <w:b/>
                <w:sz w:val="20"/>
              </w:rPr>
              <w:t>Nr 3</w:t>
            </w:r>
          </w:p>
        </w:tc>
      </w:tr>
      <w:tr>
        <w:trPr>
          <w:trHeight w:val="22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Tipologia prodotto: </w:t>
            </w:r>
            <w:r>
              <w:rPr>
                <w:rFonts w:cs="Arial" w:ascii="Arial" w:hAnsi="Arial"/>
                <w:b/>
                <w:bCs/>
                <w:sz w:val="20"/>
              </w:rPr>
              <w:t>articolo in rivista</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Titolo: </w:t>
            </w:r>
            <w:r>
              <w:rPr>
                <w:rFonts w:cs="Arial" w:ascii="Arial" w:hAnsi="Arial"/>
                <w:b/>
                <w:bCs/>
                <w:sz w:val="20"/>
              </w:rPr>
              <w:t>NCD-Pred: Forecasting Multichannel Shipboard Electrical Power Demand Using Neighborhood-Constrained VMD</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Elenco autori: </w:t>
            </w:r>
            <w:r>
              <w:rPr>
                <w:rFonts w:cs="Arial" w:ascii="Arial" w:hAnsi="Arial"/>
                <w:b/>
                <w:bCs/>
                <w:sz w:val="20"/>
              </w:rPr>
              <w:t xml:space="preserve">Paolo Fazzini, Giuseppe La Tona, Marco Montuori, Matteo Diez </w:t>
            </w:r>
            <w:r>
              <w:rPr>
                <w:rFonts w:eastAsia="Arial MT" w:cs="Arial" w:ascii="Arial" w:hAnsi="Arial"/>
                <w:b/>
                <w:bCs/>
                <w:sz w:val="20"/>
              </w:rPr>
              <w:t>e</w:t>
            </w:r>
            <w:r>
              <w:rPr>
                <w:rFonts w:cs="Arial" w:ascii="Arial" w:hAnsi="Arial"/>
                <w:b/>
                <w:bCs/>
                <w:sz w:val="20"/>
              </w:rPr>
              <w:t xml:space="preserve"> Maria Carmela Di Piazza</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Ruolo svolto (autore principale;primo autore;ultimo autore;corresponding author; primo autore alla pari, coautore): </w:t>
            </w:r>
            <w:r>
              <w:rPr>
                <w:rFonts w:cs="Arial" w:ascii="Arial" w:hAnsi="Arial"/>
                <w:b/>
                <w:bCs/>
                <w:sz w:val="20"/>
              </w:rPr>
              <w:t>autore principale e primo autore</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Rivista: </w:t>
            </w:r>
            <w:r>
              <w:rPr>
                <w:rFonts w:cs="Arial" w:ascii="Arial" w:hAnsi="Arial"/>
                <w:b/>
                <w:bCs/>
                <w:sz w:val="20"/>
              </w:rPr>
              <w:t>Forecasting (MDPI)</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Anno pubblicazione: </w:t>
            </w:r>
            <w:r>
              <w:rPr>
                <w:rFonts w:cs="Arial" w:ascii="Arial" w:hAnsi="Arial"/>
                <w:b/>
                <w:bCs/>
                <w:sz w:val="20"/>
              </w:rPr>
              <w:t>2025</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Pagine: </w:t>
            </w:r>
            <w:r>
              <w:rPr>
                <w:rFonts w:cs="Arial" w:ascii="Arial" w:hAnsi="Arial"/>
                <w:b/>
                <w:bCs/>
                <w:sz w:val="20"/>
              </w:rPr>
              <w:t>19</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Codice identificativo (ISSN): </w:t>
            </w:r>
            <w:r>
              <w:rPr>
                <w:rStyle w:val="Emphasis"/>
                <w:rFonts w:cs="Arial" w:ascii="Arial" w:hAnsi="Arial"/>
                <w:b/>
                <w:bCs/>
                <w:i w:val="false"/>
                <w:iCs w:val="false"/>
                <w:sz w:val="20"/>
              </w:rPr>
              <w:t>2571-9394</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DOI: </w:t>
            </w:r>
            <w:r>
              <w:rPr>
                <w:rFonts w:cs="Arial" w:ascii="Arial" w:hAnsi="Arial"/>
                <w:b/>
                <w:bCs/>
                <w:sz w:val="20"/>
              </w:rPr>
              <w:t>https://doi.org/10.3390/forecast7030044</w:t>
            </w:r>
          </w:p>
        </w:tc>
      </w:tr>
      <w:tr>
        <w:trPr>
          <w:trHeight w:val="25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Lingua del prodotto: </w:t>
            </w:r>
            <w:r>
              <w:rPr>
                <w:rFonts w:cs="Arial" w:ascii="Arial" w:hAnsi="Arial"/>
                <w:b/>
                <w:bCs/>
                <w:sz w:val="20"/>
              </w:rPr>
              <w:t>inglese</w:t>
            </w:r>
          </w:p>
        </w:tc>
      </w:tr>
      <w:tr>
        <w:trPr>
          <w:trHeight w:val="251"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Abstract (MCSI 1000): </w:t>
            </w:r>
            <w:r>
              <w:rPr>
                <w:rFonts w:cs="Arial" w:ascii="Arial" w:hAnsi="Arial"/>
                <w:b/>
                <w:bCs/>
                <w:sz w:val="20"/>
              </w:rPr>
              <w:t>This paper introduces Neighborhood-Constrained Decomposition-based Prediction (NCD-Pred), the first system to leverage Neighborhood-Constrained Variational Mode Decom-position (NCVMD) for multichannel forecasting by integrating time series decompositionand neural networks. NCD-Pred leverages NCVMD to decompose a multichannel signalinto simpler, band-limited components—referred to asintrinsic mode functionsor simplymodes—by prioritizing the most informative channel (themainchannel) over less informa-tive ones (theauxiliarychannels) and bringing their central frequencies into alignment upto a tunable extent. This frequency synchronization provides a framework for cooperativemode forecasting, where predictions of signal components are recombined to produce theoriginal signal prediction. For mode-level forecasting, Long Short-Term Memory (LSTM)networks are utilized. NCD-Pred’s performance is evaluated against similarly designedmode-level forecasting systems using a multichannel dataset with weak cross-correlation,representing power load on a large vessel. The results show that NCD-Pred outperformsbenchmark methods, demonstrating its practical utility in real signal processing scenarios.</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b/>
                <w:b/>
                <w:bCs/>
              </w:rPr>
            </w:pPr>
            <w:r>
              <w:rPr>
                <w:rFonts w:cs="Arial" w:ascii="Arial" w:hAnsi="Arial"/>
                <w:b/>
                <w:bCs/>
                <w:sz w:val="20"/>
              </w:rPr>
              <w:t>Parole chiave (max 5): energy management; shipboard electrical power consumption; forecasting;machine learning; multi-channel (multivariate) forecasting; Variational Mode Decomposition</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Descrittori ERC (terzo livello, max 3): </w:t>
            </w:r>
            <w:r>
              <w:rPr>
                <w:rFonts w:cs="Arial" w:ascii="Arial" w:hAnsi="Arial"/>
                <w:b/>
                <w:bCs/>
                <w:sz w:val="20"/>
                <w:lang w:val="it-IT"/>
              </w:rPr>
              <w:t>PE6_11 Machine learning, statistical data processing and applications using signal processing</w:t>
            </w:r>
          </w:p>
        </w:tc>
      </w:tr>
      <w:tr>
        <w:trPr>
          <w:trHeight w:val="263"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Impatto descritto in forma narrativa, supportato da indicatori se ritenuto rilevante (MCSI 1000): </w:t>
            </w:r>
            <w:r>
              <w:rPr>
                <w:rFonts w:cs="Arial" w:ascii="Arial" w:hAnsi="Arial"/>
                <w:b/>
                <w:bCs/>
                <w:sz w:val="20"/>
              </w:rPr>
              <w:t xml:space="preserve">L'articolo presenta NCD-Pred, un sistema innovativo per la previsione del consumo elettrico navale che combina la decomposizione NCVMD con reti neurali LSTM. Testato su dati reali di una grande nave passeggeri per 4 mesi, il metodo mostra miglioramenti significativi rispetto ai benchmark tradizionali (VMD, MVMD, VMDMS) nel 50% dei casi testati. L'impatto </w:t>
            </w:r>
            <w:r>
              <w:rPr>
                <w:rFonts w:eastAsia="Arial MT" w:cs="Arial" w:ascii="Arial" w:hAnsi="Arial"/>
                <w:b/>
                <w:bCs/>
                <w:color w:val="auto"/>
                <w:kern w:val="0"/>
                <w:sz w:val="20"/>
                <w:szCs w:val="22"/>
                <w:lang w:val="it-IT" w:eastAsia="en-US" w:bidi="ar-SA"/>
              </w:rPr>
              <w:t>dell’algoritmo</w:t>
            </w:r>
            <w:r>
              <w:rPr>
                <w:rFonts w:cs="Arial" w:ascii="Arial" w:hAnsi="Arial"/>
                <w:b/>
                <w:bCs/>
                <w:sz w:val="20"/>
              </w:rPr>
              <w:t xml:space="preserve"> è stato registrato nel settore marittimo, dove il trasporto navale rappresenta il 3% delle emissioni globali di gas serra. Con la crescita del 40% del commercio marittimo prevista nei prossimi 30 anni e gli obiettivi IMO di zero emissioni entro il 2050, sistemi di gestione energetica accurati possono ridurre l'intensità carbonica delle navi fino al 10%. Il sistema è computazionalmente efficiente (8.3 min di training per serie temporale) e compatibile con il retraining giornaliero richiesto per orizzonti di 24h, rendendolo applicabile operativamente sui sistemi di gestione energetica navali reali. La generalità dei principi alla base dell’algoritmo ne permette l’utilizzo anche in campi applicativi </w:t>
            </w:r>
            <w:r>
              <w:rPr>
                <w:rFonts w:eastAsia="Arial MT" w:cs="Arial" w:ascii="Arial" w:hAnsi="Arial"/>
                <w:b/>
                <w:bCs/>
                <w:color w:val="auto"/>
                <w:kern w:val="0"/>
                <w:sz w:val="20"/>
                <w:szCs w:val="22"/>
                <w:lang w:val="it-IT" w:eastAsia="en-US" w:bidi="ar-SA"/>
              </w:rPr>
              <w:t>differenti</w:t>
            </w:r>
            <w:r>
              <w:rPr>
                <w:rFonts w:cs="Arial" w:ascii="Arial" w:hAnsi="Arial"/>
                <w:b/>
                <w:bCs/>
                <w:sz w:val="20"/>
              </w:rPr>
              <w:t xml:space="preserve"> da quello utilizzato nel presente studio.</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A chi è rivolto (audience) (MCSI 250): </w:t>
            </w:r>
            <w:r>
              <w:rPr>
                <w:rStyle w:val="StrongEmphasis"/>
                <w:rFonts w:cs="Arial" w:ascii="Arial" w:hAnsi="Arial"/>
                <w:sz w:val="20"/>
              </w:rPr>
              <w:t>Grazie alla natura generale dell’algoritmo, il lavoro risulta potenzialmente utile per qualsiasi ente — sia in ambito accademico che industriale — che necessiti di strumenti di previsione nel medio termine.</w:t>
            </w:r>
            <w:r>
              <w:rPr>
                <w:rFonts w:cs="Arial" w:ascii="Arial" w:hAnsi="Arial"/>
                <w:b/>
                <w:bCs/>
                <w:sz w:val="20"/>
              </w:rPr>
              <w:t xml:space="preserve"> Inoltre, considerando il contesto applicativo navale, il contributo può rivelarsi particolarmente rilevante per energy manager, fornitori di tecnologie marine, compagnie di navigazione, organizzazioni internazionali, sviluppatori di software marittimo, utility portuali, gestori di microgrid e accademie navali.</w:t>
            </w:r>
          </w:p>
        </w:tc>
      </w:tr>
      <w:tr>
        <w:trPr>
          <w:trHeight w:val="287"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Indicare se il prodotto ha superato un processo di revisione tra pari: </w:t>
            </w:r>
            <w:r>
              <w:rPr>
                <w:rFonts w:cs="Arial" w:ascii="Arial" w:hAnsi="Arial"/>
                <w:b/>
                <w:bCs/>
                <w:sz w:val="20"/>
              </w:rPr>
              <w:t>Sì</w:t>
            </w:r>
          </w:p>
        </w:tc>
      </w:tr>
      <w:tr>
        <w:trPr>
          <w:trHeight w:val="23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Link a dati associati (DOI o URL, se disponibile)</w:t>
            </w:r>
          </w:p>
        </w:tc>
      </w:tr>
      <w:tr>
        <w:trPr>
          <w:trHeight w:val="2529"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jc w:val="both"/>
              <w:rPr>
                <w:rFonts w:ascii="Arial" w:hAnsi="Arial" w:cs="Arial"/>
                <w:sz w:val="20"/>
              </w:rPr>
            </w:pPr>
            <w:r>
              <w:rPr>
                <w:rFonts w:cs="Arial" w:ascii="Arial" w:hAnsi="Arial"/>
                <w:sz w:val="20"/>
              </w:rPr>
              <w:t xml:space="preserve">Tipo di accessibilità (selezionare le opzioni rilevanti): </w:t>
            </w:r>
            <w:r>
              <w:rPr>
                <w:rFonts w:cs="Arial" w:ascii="Arial" w:hAnsi="Arial"/>
                <w:b/>
                <w:bCs/>
                <w:sz w:val="20"/>
              </w:rPr>
              <w:t>Riviste Open Access: il prodotto è liberamente e gratuitamente accessibile su piattaforma della casa editrice o della rivista (DOI: https://doi.org/10.3390/forecast7030044).</w:t>
            </w:r>
          </w:p>
          <w:p>
            <w:pPr>
              <w:pStyle w:val="TableParagraph"/>
              <w:numPr>
                <w:ilvl w:val="0"/>
                <w:numId w:val="0"/>
              </w:numPr>
              <w:spacing w:lineRule="auto" w:line="240"/>
              <w:ind w:left="839" w:hanging="0"/>
              <w:jc w:val="both"/>
              <w:rPr>
                <w:rFonts w:ascii="Arial" w:hAnsi="Arial" w:cs="Arial"/>
                <w:sz w:val="20"/>
              </w:rPr>
            </w:pPr>
            <w:r>
              <w:rPr>
                <w:rFonts w:cs="Arial" w:ascii="Arial" w:hAnsi="Arial"/>
                <w:sz w:val="20"/>
              </w:rPr>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Specificare se il prodotto si riferisce ad aree emergenti, di forte specializzazione o marcatamente interdisciplinari: (MCSI 500): I</w:t>
            </w:r>
            <w:r>
              <w:rPr>
                <w:rFonts w:cs="Arial" w:ascii="Arial" w:hAnsi="Arial"/>
                <w:b/>
                <w:bCs/>
                <w:sz w:val="20"/>
              </w:rPr>
              <w:t>l prodotto si colloca in un'area marcatamente interdisciplinare che integra:</w:t>
            </w:r>
          </w:p>
          <w:p>
            <w:pPr>
              <w:pStyle w:val="TableParagraph"/>
              <w:spacing w:lineRule="auto" w:line="240"/>
              <w:ind w:left="0" w:hanging="0"/>
              <w:rPr>
                <w:b/>
                <w:b/>
                <w:bCs/>
              </w:rPr>
            </w:pPr>
            <w:r>
              <w:rPr>
                <w:rFonts w:cs="Arial" w:ascii="Arial" w:hAnsi="Arial"/>
                <w:b/>
                <w:bCs/>
                <w:sz w:val="20"/>
              </w:rPr>
              <w:t>- Machine learning e deep learning (reti LSTM)</w:t>
            </w:r>
          </w:p>
          <w:p>
            <w:pPr>
              <w:pStyle w:val="TableParagraph"/>
              <w:spacing w:lineRule="auto" w:line="240"/>
              <w:ind w:left="0" w:hanging="0"/>
              <w:rPr>
                <w:b/>
                <w:b/>
                <w:bCs/>
              </w:rPr>
            </w:pPr>
            <w:r>
              <w:rPr>
                <w:rFonts w:cs="Arial" w:ascii="Arial" w:hAnsi="Arial"/>
                <w:b/>
                <w:bCs/>
                <w:sz w:val="20"/>
              </w:rPr>
              <w:t>- Elaborazione avanzata dei segnali (decomposizione VMD/NCVMD)</w:t>
            </w:r>
          </w:p>
          <w:p>
            <w:pPr>
              <w:pStyle w:val="TableParagraph"/>
              <w:spacing w:lineRule="auto" w:line="240"/>
              <w:ind w:left="0" w:hanging="0"/>
              <w:rPr>
                <w:b/>
                <w:b/>
                <w:bCs/>
              </w:rPr>
            </w:pPr>
            <w:r>
              <w:rPr>
                <w:rFonts w:cs="Arial" w:ascii="Arial" w:hAnsi="Arial"/>
                <w:b/>
                <w:bCs/>
                <w:sz w:val="20"/>
              </w:rPr>
              <w:t>- Ingegneria navale e sistemi elettrici marittimi</w:t>
            </w:r>
          </w:p>
          <w:p>
            <w:pPr>
              <w:pStyle w:val="TableParagraph"/>
              <w:spacing w:lineRule="auto" w:line="240"/>
              <w:ind w:left="0" w:hanging="0"/>
              <w:rPr>
                <w:b/>
                <w:b/>
                <w:bCs/>
              </w:rPr>
            </w:pPr>
            <w:r>
              <w:rPr>
                <w:rFonts w:cs="Arial" w:ascii="Arial" w:hAnsi="Arial"/>
                <w:b/>
                <w:bCs/>
                <w:sz w:val="20"/>
              </w:rPr>
              <w:t>- Gestione energetica e sostenibilità ambientale</w:t>
            </w:r>
          </w:p>
          <w:p>
            <w:pPr>
              <w:pStyle w:val="TableParagraph"/>
              <w:spacing w:lineRule="auto" w:line="240"/>
              <w:ind w:left="0" w:hanging="0"/>
              <w:rPr>
                <w:b/>
                <w:b/>
                <w:bCs/>
              </w:rPr>
            </w:pPr>
            <w:r>
              <w:rPr>
                <w:b/>
                <w:bCs/>
              </w:rPr>
            </w:r>
          </w:p>
          <w:p>
            <w:pPr>
              <w:pStyle w:val="TableParagraph"/>
              <w:spacing w:lineRule="auto" w:line="240"/>
              <w:ind w:left="0" w:hanging="0"/>
              <w:rPr>
                <w:b/>
                <w:b/>
                <w:bCs/>
              </w:rPr>
            </w:pPr>
            <w:r>
              <w:rPr>
                <w:rFonts w:cs="Arial" w:ascii="Arial" w:hAnsi="Arial"/>
                <w:b/>
                <w:bCs/>
                <w:sz w:val="20"/>
              </w:rPr>
              <w:t>Rappresenta inoltre un'area emergente legata alla decarbonizzazione del trasporto marittimo, settore in rapida evoluzione verso tecnologie smart per l'efficienza energetica, in linea con le normative IMO 2050.</w:t>
            </w:r>
          </w:p>
        </w:tc>
      </w:tr>
      <w:tr>
        <w:trPr>
          <w:trHeight w:val="460" w:hRule="atLeast"/>
        </w:trPr>
        <w:tc>
          <w:tcPr>
            <w:tcW w:w="9780"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ind w:left="0" w:hanging="0"/>
              <w:rPr>
                <w:rFonts w:ascii="Arial" w:hAnsi="Arial" w:cs="Arial"/>
                <w:sz w:val="20"/>
              </w:rPr>
            </w:pPr>
            <w:r>
              <w:rPr>
                <w:rFonts w:cs="Arial" w:ascii="Arial" w:hAnsi="Arial"/>
                <w:sz w:val="20"/>
              </w:rPr>
              <w:t xml:space="preserve">Altre informazioni: (MCSI 500) </w:t>
            </w:r>
            <w:r>
              <w:rPr>
                <w:rFonts w:cs="Arial" w:ascii="Arial" w:hAnsi="Arial"/>
                <w:b/>
                <w:bCs/>
                <w:sz w:val="20"/>
                <w:lang w:val="it-IT"/>
              </w:rPr>
              <w:t xml:space="preserve">Quartile rivista Q1 </w:t>
            </w:r>
            <w:r>
              <w:rPr>
                <w:rFonts w:eastAsia="Arial MT" w:cs="Arial" w:ascii="Arial" w:hAnsi="Arial"/>
                <w:b/>
                <w:bCs/>
                <w:color w:val="auto"/>
                <w:kern w:val="0"/>
                <w:sz w:val="20"/>
                <w:szCs w:val="22"/>
                <w:lang w:val="it-IT" w:eastAsia="en-US" w:bidi="ar-SA"/>
              </w:rPr>
              <w:t xml:space="preserve">via </w:t>
            </w:r>
            <w:r>
              <w:rPr>
                <w:rFonts w:cs="Arial" w:ascii="Arial" w:hAnsi="Arial"/>
                <w:b/>
                <w:bCs/>
                <w:sz w:val="20"/>
                <w:lang w:val="it-IT"/>
              </w:rPr>
              <w:t>Scimago Journal &amp; Country Rank (SJR)</w:t>
            </w:r>
          </w:p>
        </w:tc>
      </w:tr>
    </w:tbl>
    <w:p>
      <w:pPr>
        <w:pStyle w:val="Normal"/>
        <w:rPr/>
      </w:pPr>
      <w:r>
        <w:rPr/>
      </w:r>
    </w:p>
    <w:sectPr>
      <w:footerReference w:type="default" r:id="rId3"/>
      <w:type w:val="nextPage"/>
      <w:pgSz w:w="11906" w:h="16838"/>
      <w:pgMar w:left="1021" w:right="1021" w:header="0" w:top="1134" w:footer="567" w:bottom="1134"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2"/>
      <w:rPr>
        <w:b w:val="false"/>
        <w:b w:val="false"/>
        <w:lang w:val="it-IT"/>
      </w:rPr>
    </w:pPr>
    <w:r>
      <w:rPr>
        <w:b w:val="false"/>
        <w:lang w:val="it-IT"/>
      </w:rPr>
      <mc:AlternateContent>
        <mc:Choice Requires="wps">
          <w:drawing>
            <wp:anchor behindDoc="1" distT="0" distB="0" distL="0" distR="0" simplePos="0" locked="0" layoutInCell="1" allowOverlap="1" relativeHeight="6" wp14:anchorId="779723DC">
              <wp:simplePos x="0" y="0"/>
              <wp:positionH relativeFrom="page">
                <wp:posOffset>6455410</wp:posOffset>
              </wp:positionH>
              <wp:positionV relativeFrom="page">
                <wp:posOffset>10039350</wp:posOffset>
              </wp:positionV>
              <wp:extent cx="229235" cy="185420"/>
              <wp:effectExtent l="0" t="0" r="0" b="0"/>
              <wp:wrapNone/>
              <wp:docPr id="3" name="Text Box 1"/>
              <a:graphic xmlns:a="http://schemas.openxmlformats.org/drawingml/2006/main">
                <a:graphicData uri="http://schemas.microsoft.com/office/word/2010/wordprocessingShape">
                  <wps:wsp>
                    <wps:cNvSpPr/>
                    <wps:spPr>
                      <a:xfrm>
                        <a:off x="0" y="0"/>
                        <a:ext cx="228600" cy="184680"/>
                      </a:xfrm>
                      <a:prstGeom prst="rect">
                        <a:avLst/>
                      </a:prstGeom>
                      <a:noFill/>
                      <a:ln>
                        <a:noFill/>
                      </a:ln>
                    </wps:spPr>
                    <wps:style>
                      <a:lnRef idx="0"/>
                      <a:fillRef idx="0"/>
                      <a:effectRef idx="0"/>
                      <a:fontRef idx="minor"/>
                    </wps:style>
                    <wps:txbx>
                      <w:txbxContent>
                        <w:p>
                          <w:pPr>
                            <w:pStyle w:val="FrameContents"/>
                            <w:spacing w:before="13" w:after="0"/>
                            <w:ind w:left="60" w:hanging="0"/>
                            <w:rPr>
                              <w:lang w:val="it-IT"/>
                            </w:rPr>
                          </w:pPr>
                          <w:r>
                            <w:rPr>
                              <w:color w:val="000000"/>
                              <w:lang w:val="it-IT"/>
                            </w:rPr>
                            <w:fldChar w:fldCharType="begin"/>
                          </w:r>
                          <w:r>
                            <w:rPr>
                              <w:color w:val="000000"/>
                              <w:lang w:val="it-IT"/>
                            </w:rPr>
                            <w:instrText> PAGE </w:instrText>
                          </w:r>
                          <w:r>
                            <w:rPr>
                              <w:color w:val="000000"/>
                              <w:lang w:val="it-IT"/>
                            </w:rPr>
                            <w:fldChar w:fldCharType="separate"/>
                          </w:r>
                          <w:r>
                            <w:rPr>
                              <w:color w:val="000000"/>
                              <w:lang w:val="it-IT"/>
                            </w:rPr>
                            <w:t>5</w:t>
                          </w:r>
                          <w:r>
                            <w:rPr>
                              <w:color w:val="000000"/>
                              <w:lang w:val="it-IT"/>
                            </w:rPr>
                            <w:fldChar w:fldCharType="end"/>
                          </w:r>
                        </w:p>
                      </w:txbxContent>
                    </wps:txbx>
                    <wps:bodyPr lIns="0" rIns="0" tIns="0" bIns="0">
                      <a:noAutofit/>
                    </wps:bodyPr>
                  </wps:wsp>
                </a:graphicData>
              </a:graphic>
            </wp:anchor>
          </w:drawing>
        </mc:Choice>
        <mc:Fallback>
          <w:pict>
            <v:rect id="shape_0" ID="Text Box 1" stroked="f" style="position:absolute;margin-left:508.3pt;margin-top:790.5pt;width:17.95pt;height:14.5pt;mso-position-horizontal-relative:page;mso-position-vertical-relative:page" wp14:anchorId="779723DC">
              <w10:wrap type="square"/>
              <v:fill o:detectmouseclick="t" on="false"/>
              <v:stroke color="#3465a4" joinstyle="round" endcap="flat"/>
              <v:textbox>
                <w:txbxContent>
                  <w:p>
                    <w:pPr>
                      <w:pStyle w:val="FrameContents"/>
                      <w:spacing w:before="13" w:after="0"/>
                      <w:ind w:left="60" w:hanging="0"/>
                      <w:rPr>
                        <w:lang w:val="it-IT"/>
                      </w:rPr>
                    </w:pPr>
                    <w:r>
                      <w:rPr>
                        <w:color w:val="000000"/>
                        <w:lang w:val="it-IT"/>
                      </w:rPr>
                      <w:fldChar w:fldCharType="begin"/>
                    </w:r>
                    <w:r>
                      <w:rPr>
                        <w:color w:val="000000"/>
                        <w:lang w:val="it-IT"/>
                      </w:rPr>
                      <w:instrText> PAGE </w:instrText>
                    </w:r>
                    <w:r>
                      <w:rPr>
                        <w:color w:val="000000"/>
                        <w:lang w:val="it-IT"/>
                      </w:rPr>
                      <w:fldChar w:fldCharType="separate"/>
                    </w:r>
                    <w:r>
                      <w:rPr>
                        <w:color w:val="000000"/>
                        <w:lang w:val="it-IT"/>
                      </w:rPr>
                      <w:t>5</w:t>
                    </w:r>
                    <w:r>
                      <w:rPr>
                        <w:color w:val="000000"/>
                        <w:lang w:val="it-IT"/>
                      </w:rPr>
                      <w:fldChar w:fldCharType="end"/>
                    </w:r>
                  </w:p>
                </w:txbxContent>
              </v:textbox>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100" w:hanging="353"/>
      </w:pPr>
      <w:rPr>
        <w:sz w:val="22"/>
        <w:spacing w:val="-1"/>
        <w:b/>
        <w:szCs w:val="22"/>
        <w:bCs/>
        <w:w w:val="100"/>
        <w:rFonts w:eastAsia="Arial" w:cs="Arial"/>
        <w:lang w:eastAsia="en-US" w:bidi="ar-SA"/>
      </w:rPr>
    </w:lvl>
    <w:lvl w:ilvl="1">
      <w:start w:val="0"/>
      <w:numFmt w:val="bullet"/>
      <w:lvlText w:val=""/>
      <w:lvlJc w:val="left"/>
      <w:pPr>
        <w:tabs>
          <w:tab w:val="num" w:pos="0"/>
        </w:tabs>
        <w:ind w:left="1091" w:hanging="353"/>
      </w:pPr>
      <w:rPr>
        <w:rFonts w:ascii="Symbol" w:hAnsi="Symbol" w:cs="Symbol" w:hint="default"/>
      </w:rPr>
    </w:lvl>
    <w:lvl w:ilvl="2">
      <w:start w:val="0"/>
      <w:numFmt w:val="bullet"/>
      <w:lvlText w:val=""/>
      <w:lvlJc w:val="left"/>
      <w:pPr>
        <w:tabs>
          <w:tab w:val="num" w:pos="0"/>
        </w:tabs>
        <w:ind w:left="2082" w:hanging="353"/>
      </w:pPr>
      <w:rPr>
        <w:rFonts w:ascii="Symbol" w:hAnsi="Symbol" w:cs="Symbol" w:hint="default"/>
      </w:rPr>
    </w:lvl>
    <w:lvl w:ilvl="3">
      <w:start w:val="0"/>
      <w:numFmt w:val="bullet"/>
      <w:lvlText w:val=""/>
      <w:lvlJc w:val="left"/>
      <w:pPr>
        <w:tabs>
          <w:tab w:val="num" w:pos="0"/>
        </w:tabs>
        <w:ind w:left="3073" w:hanging="353"/>
      </w:pPr>
      <w:rPr>
        <w:rFonts w:ascii="Symbol" w:hAnsi="Symbol" w:cs="Symbol" w:hint="default"/>
      </w:rPr>
    </w:lvl>
    <w:lvl w:ilvl="4">
      <w:start w:val="0"/>
      <w:numFmt w:val="bullet"/>
      <w:lvlText w:val=""/>
      <w:lvlJc w:val="left"/>
      <w:pPr>
        <w:tabs>
          <w:tab w:val="num" w:pos="0"/>
        </w:tabs>
        <w:ind w:left="4064" w:hanging="353"/>
      </w:pPr>
      <w:rPr>
        <w:rFonts w:ascii="Symbol" w:hAnsi="Symbol" w:cs="Symbol" w:hint="default"/>
      </w:rPr>
    </w:lvl>
    <w:lvl w:ilvl="5">
      <w:start w:val="0"/>
      <w:numFmt w:val="bullet"/>
      <w:lvlText w:val=""/>
      <w:lvlJc w:val="left"/>
      <w:pPr>
        <w:tabs>
          <w:tab w:val="num" w:pos="0"/>
        </w:tabs>
        <w:ind w:left="5055" w:hanging="353"/>
      </w:pPr>
      <w:rPr>
        <w:rFonts w:ascii="Symbol" w:hAnsi="Symbol" w:cs="Symbol" w:hint="default"/>
      </w:rPr>
    </w:lvl>
    <w:lvl w:ilvl="6">
      <w:start w:val="0"/>
      <w:numFmt w:val="bullet"/>
      <w:lvlText w:val=""/>
      <w:lvlJc w:val="left"/>
      <w:pPr>
        <w:tabs>
          <w:tab w:val="num" w:pos="0"/>
        </w:tabs>
        <w:ind w:left="6046" w:hanging="353"/>
      </w:pPr>
      <w:rPr>
        <w:rFonts w:ascii="Symbol" w:hAnsi="Symbol" w:cs="Symbol" w:hint="default"/>
      </w:rPr>
    </w:lvl>
    <w:lvl w:ilvl="7">
      <w:start w:val="0"/>
      <w:numFmt w:val="bullet"/>
      <w:lvlText w:val=""/>
      <w:lvlJc w:val="left"/>
      <w:pPr>
        <w:tabs>
          <w:tab w:val="num" w:pos="0"/>
        </w:tabs>
        <w:ind w:left="7037" w:hanging="353"/>
      </w:pPr>
      <w:rPr>
        <w:rFonts w:ascii="Symbol" w:hAnsi="Symbol" w:cs="Symbol" w:hint="default"/>
      </w:rPr>
    </w:lvl>
    <w:lvl w:ilvl="8">
      <w:start w:val="0"/>
      <w:numFmt w:val="bullet"/>
      <w:lvlText w:val=""/>
      <w:lvlJc w:val="left"/>
      <w:pPr>
        <w:tabs>
          <w:tab w:val="num" w:pos="0"/>
        </w:tabs>
        <w:ind w:left="8028" w:hanging="35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22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Arial MT" w:hAnsi="Arial MT" w:eastAsia="Arial MT" w:cs="Arial MT"/>
      <w:color w:val="auto"/>
      <w:kern w:val="0"/>
      <w:sz w:val="22"/>
      <w:szCs w:val="22"/>
      <w:lang w:val="it-IT" w:eastAsia="en-US" w:bidi="ar-SA"/>
    </w:rPr>
  </w:style>
  <w:style w:type="paragraph" w:styleId="Heading1">
    <w:name w:val="Heading 1"/>
    <w:basedOn w:val="Normal"/>
    <w:uiPriority w:val="9"/>
    <w:qFormat/>
    <w:pPr>
      <w:ind w:left="2352" w:hanging="0"/>
      <w:outlineLvl w:val="0"/>
    </w:pPr>
    <w:rPr>
      <w:sz w:val="28"/>
      <w:szCs w:val="28"/>
    </w:rPr>
  </w:style>
  <w:style w:type="paragraph" w:styleId="Heading2">
    <w:name w:val="Heading 2"/>
    <w:basedOn w:val="Normal"/>
    <w:uiPriority w:val="9"/>
    <w:unhideWhenUsed/>
    <w:qFormat/>
    <w:pPr>
      <w:ind w:left="100" w:hanging="0"/>
      <w:outlineLvl w:val="1"/>
    </w:pPr>
    <w:rPr/>
  </w:style>
  <w:style w:type="paragraph" w:styleId="Heading3">
    <w:name w:val="Heading 3"/>
    <w:basedOn w:val="Heading"/>
    <w:next w:val="TextBody"/>
    <w:qFormat/>
    <w:pPr>
      <w:numPr>
        <w:ilvl w:val="2"/>
        <w:numId w:val="1"/>
      </w:num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rPr>
      <w:rFonts w:ascii="Arial" w:hAnsi="Arial" w:eastAsia="Arial" w:cs="Arial"/>
      <w:b/>
      <w:bCs/>
      <w:sz w:val="20"/>
      <w:szCs w:val="20"/>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uiPriority w:val="10"/>
    <w:qFormat/>
    <w:pPr>
      <w:spacing w:before="89" w:after="0"/>
      <w:ind w:left="2115" w:right="4167" w:hanging="0"/>
      <w:jc w:val="center"/>
    </w:pPr>
    <w:rPr>
      <w:rFonts w:ascii="Arial" w:hAnsi="Arial" w:eastAsia="Arial" w:cs="Arial"/>
      <w:b/>
      <w:bCs/>
      <w:i/>
      <w:iCs/>
      <w:sz w:val="32"/>
      <w:szCs w:val="32"/>
    </w:rPr>
  </w:style>
  <w:style w:type="paragraph" w:styleId="ListParagraph">
    <w:name w:val="List Paragraph"/>
    <w:basedOn w:val="Normal"/>
    <w:uiPriority w:val="1"/>
    <w:qFormat/>
    <w:pPr>
      <w:ind w:left="100" w:hanging="0"/>
    </w:pPr>
    <w:rPr>
      <w:rFonts w:ascii="Arial" w:hAnsi="Arial" w:eastAsia="Arial" w:cs="Arial"/>
    </w:rPr>
  </w:style>
  <w:style w:type="paragraph" w:styleId="TableParagraph" w:customStyle="1">
    <w:name w:val="Table Paragraph"/>
    <w:basedOn w:val="Normal"/>
    <w:uiPriority w:val="1"/>
    <w:qFormat/>
    <w:pPr>
      <w:spacing w:lineRule="exact" w:line="210"/>
      <w:ind w:left="119" w:hanging="0"/>
    </w:pPr>
    <w:rPr/>
  </w:style>
  <w:style w:type="paragraph" w:styleId="FrameContents">
    <w:name w:val="Frame Contents"/>
    <w:basedOn w:val="Normal"/>
    <w:qFormat/>
    <w:pPr/>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ortal.issn.org/resource/ISSN/2072-4292"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554F457710E4A4B842CF8ECB359F7D4" ma:contentTypeVersion="17" ma:contentTypeDescription="Creare un nuovo documento." ma:contentTypeScope="" ma:versionID="d4a6f092aef82893244d595d464a96d6">
  <xsd:schema xmlns:xsd="http://www.w3.org/2001/XMLSchema" xmlns:xs="http://www.w3.org/2001/XMLSchema" xmlns:p="http://schemas.microsoft.com/office/2006/metadata/properties" xmlns:ns2="1eca124a-8b1d-46ff-98be-4012aac85da3" xmlns:ns3="e4882009-3638-424a-98f6-5d32e91ab190" targetNamespace="http://schemas.microsoft.com/office/2006/metadata/properties" ma:root="true" ma:fieldsID="94bb483e9dc0e16b32e3d75fbf4b1c3a" ns2:_="" ns3:_="">
    <xsd:import namespace="1eca124a-8b1d-46ff-98be-4012aac85da3"/>
    <xsd:import namespace="e4882009-3638-424a-98f6-5d32e91ab1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a124a-8b1d-46ff-98be-4012aac85d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Tag immagine"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882009-3638-424a-98f6-5d32e91ab190" elementFormDefault="qualified">
    <xsd:import namespace="http://schemas.microsoft.com/office/2006/documentManagement/types"/>
    <xsd:import namespace="http://schemas.microsoft.com/office/infopath/2007/PartnerControls"/>
    <xsd:element name="SharedWithUsers" ma:index="2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73C26E-AC2E-4306-8CC2-4ECEC51C4F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a124a-8b1d-46ff-98be-4012aac85da3"/>
    <ds:schemaRef ds:uri="e4882009-3638-424a-98f6-5d32e91ab1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8E4210-9541-4CFB-A7E3-22BDD78F74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1383</TotalTime>
  <Application>LibreOffice/6.4.7.2$Linux_X86_64 LibreOffice_project/40$Build-2</Application>
  <Pages>5</Pages>
  <Words>2094</Words>
  <Characters>14231</Characters>
  <CharactersWithSpaces>16231</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2025-05-08T07:55:00Z</dcterms:created>
  <dc:creator>CHIARA CIMBALO</dc:creator>
  <dc:description/>
  <dc:language>it-IT</dc:language>
  <cp:lastModifiedBy/>
  <dcterms:modified xsi:type="dcterms:W3CDTF">2025-09-04T10:10:03Z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2024-06-19T00:00:00Z</vt:filetime>
  </property>
  <property fmtid="{D5CDD505-2E9C-101B-9397-08002B2CF9AE}" pid="4" name="Creator">
    <vt:lpwstr>Microsoft® Word per Microsoft 365</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2024-06-20T00:00:00Z</vt:filetime>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