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right"/>
        <w:rPr>
          <w:lang w:val="it-IT"/>
        </w:rPr>
      </w:pPr>
      <w:r>
        <w:rPr>
          <w:rFonts w:cs="Arial" w:ascii="Arial" w:hAnsi="Arial"/>
          <w:b/>
          <w:i/>
          <w:sz w:val="28"/>
          <w:lang w:val="it-IT"/>
        </w:rPr>
        <w:t xml:space="preserve">Allegato </w:t>
      </w:r>
      <w:r>
        <w:rPr>
          <w:rFonts w:cs="Arial" w:ascii="Arial" w:hAnsi="Arial"/>
          <w:b/>
          <w:sz w:val="28"/>
          <w:lang w:val="it-IT"/>
        </w:rPr>
        <w:t>A</w:t>
      </w:r>
    </w:p>
    <w:p>
      <w:pPr>
        <w:pStyle w:val="TextBody"/>
        <w:jc w:val="right"/>
        <w:rPr>
          <w:lang w:val="it-IT"/>
        </w:rPr>
      </w:pPr>
      <w:r>
        <w:rPr>
          <w:lang w:val="it-IT"/>
        </w:rPr>
      </w:r>
    </w:p>
    <w:p>
      <w:pPr>
        <w:pStyle w:val="TextBody"/>
        <w:rPr>
          <w:sz w:val="26"/>
          <w:lang w:val="it-IT"/>
        </w:rPr>
      </w:pPr>
      <w:r>
        <w:rPr>
          <w:sz w:val="26"/>
          <w:lang w:val="it-IT"/>
        </w:rPr>
      </w:r>
    </w:p>
    <w:p>
      <w:pPr>
        <w:pStyle w:val="Title"/>
        <w:spacing w:before="0" w:after="0"/>
        <w:ind w:left="0" w:right="0" w:hanging="0"/>
        <w:rPr>
          <w:lang w:val="it-IT"/>
        </w:rPr>
      </w:pPr>
      <w:r>
        <w:rPr>
          <w:lang w:val="it-IT"/>
        </w:rPr>
        <w:t>Prodotti e Titoli scelti</w:t>
      </w:r>
    </w:p>
    <w:p>
      <w:pPr>
        <w:pStyle w:val="Normal"/>
        <w:jc w:val="center"/>
        <w:rPr>
          <w:lang w:val="it-IT"/>
        </w:rPr>
      </w:pPr>
      <w:r>
        <w:rPr>
          <w:rFonts w:cs="Arial" w:ascii="Arial" w:hAnsi="Arial"/>
          <w:b/>
          <w:sz w:val="28"/>
          <w:lang w:val="it-IT"/>
        </w:rPr>
        <w:t>Ricercatore III livello</w:t>
      </w:r>
    </w:p>
    <w:p>
      <w:pPr>
        <w:pStyle w:val="TextBody"/>
        <w:rPr>
          <w:sz w:val="35"/>
          <w:lang w:val="it-IT"/>
        </w:rPr>
      </w:pPr>
      <w:r>
        <w:rPr>
          <w:sz w:val="35"/>
          <w:lang w:val="it-IT"/>
        </w:rPr>
      </w:r>
    </w:p>
    <w:p>
      <w:pPr>
        <w:pStyle w:val="Normal"/>
        <w:rPr>
          <w:lang w:val="it-IT"/>
        </w:rPr>
      </w:pPr>
      <w:r>
        <w:rPr>
          <w:rFonts w:cs="Arial" w:ascii="Arial" w:hAnsi="Arial"/>
          <w:b/>
          <w:color w:val="444646"/>
          <w:sz w:val="20"/>
          <w:u w:val="thick" w:color="444646"/>
          <w:lang w:val="it-IT"/>
        </w:rPr>
        <w:t>Motiva la tua scelta</w:t>
      </w:r>
      <w:r>
        <w:rPr>
          <w:rFonts w:cs="Arial" w:ascii="Arial" w:hAnsi="Arial"/>
          <w:b/>
          <w:color w:val="444646"/>
          <w:sz w:val="20"/>
          <w:lang w:val="it-IT"/>
        </w:rPr>
        <w:t xml:space="preserve"> </w:t>
      </w:r>
      <w:r>
        <w:rPr>
          <w:rFonts w:cs="Arial" w:ascii="Arial" w:hAnsi="Arial"/>
          <w:color w:val="444646"/>
          <w:sz w:val="20"/>
          <w:lang w:val="it-IT"/>
        </w:rPr>
        <w:t>(massimo 1500 caratteri, spazi inclusi)</w:t>
      </w:r>
    </w:p>
    <w:p>
      <w:pPr>
        <w:pStyle w:val="Normal"/>
        <w:rPr>
          <w:rFonts w:ascii="Arial" w:hAnsi="Arial" w:cs="Arial"/>
          <w:sz w:val="23"/>
          <w:lang w:val="it-IT"/>
        </w:rPr>
      </w:pPr>
      <w:r>
        <w:rPr>
          <w:rFonts w:cs="Arial" w:ascii="Arial" w:hAnsi="Arial"/>
          <w:sz w:val="23"/>
          <w:lang w:val="it-IT"/>
        </w:rPr>
      </w:r>
    </w:p>
    <w:p>
      <w:pPr>
        <w:pStyle w:val="Normal"/>
        <w:jc w:val="both"/>
        <w:rPr>
          <w:lang w:val="it-IT"/>
        </w:rPr>
      </w:pPr>
      <w:r>
        <w:rPr>
          <w:rFonts w:cs="Arial" w:ascii="Arial" w:hAnsi="Arial"/>
          <w:color w:val="444646"/>
          <w:sz w:val="20"/>
          <w:lang w:val="it-IT"/>
        </w:rPr>
        <w:t>D</w:t>
      </w:r>
      <w:r>
        <w:rPr>
          <w:rFonts w:cs="Arial" w:ascii="Arial" w:hAnsi="Arial"/>
          <w:sz w:val="20"/>
          <w:lang w:val="it-IT"/>
        </w:rPr>
        <w:t>escrivi brevemente i criteri che ti hanno portato a scegliere questi prodotti e titoli scientifici (visibilità, carattere innovativo, dimensione collettiva, evidenza di un orientamento o riorientamento tematico, ecc.)</w:t>
      </w:r>
      <w:r>
        <w:rPr>
          <w:rFonts w:cs="Arial" w:ascii="Arial" w:hAnsi="Arial"/>
          <w:color w:val="444646"/>
          <w:sz w:val="20"/>
          <w:lang w:val="it-IT"/>
        </w:rPr>
        <w:t>. Questa motivazione non verrà valutata, ma sarà di supporto alla commissione nel valutare prodotti e titoli selezionati.</w:t>
      </w:r>
    </w:p>
    <w:p>
      <w:pPr>
        <w:pStyle w:val="Normal"/>
        <w:rPr>
          <w:rFonts w:ascii="Arial" w:hAnsi="Arial" w:cs="Arial"/>
          <w:lang w:val="it-IT"/>
        </w:rPr>
      </w:pPr>
      <w:r>
        <w:rPr>
          <w:rFonts w:cs="Arial" w:ascii="Arial" w:hAnsi="Arial"/>
          <w:lang w:val="it-IT"/>
        </w:rPr>
      </w:r>
    </w:p>
    <w:p>
      <w:pPr>
        <w:pStyle w:val="Normal"/>
        <w:rPr>
          <w:rFonts w:ascii="Arial" w:hAnsi="Arial" w:cs="Arial"/>
          <w:lang w:val="it-IT"/>
        </w:rPr>
      </w:pPr>
      <w:r>
        <w:rPr>
          <w:rFonts w:cs="Arial" w:ascii="Arial" w:hAnsi="Arial"/>
          <w:lang w:val="it-IT"/>
        </w:rPr>
        <mc:AlternateContent>
          <mc:Choice Requires="wps">
            <w:drawing>
              <wp:anchor behindDoc="0" distT="0" distB="0" distL="0" distR="0" simplePos="0" locked="0" layoutInCell="1" allowOverlap="1" relativeHeight="7">
                <wp:simplePos x="0" y="0"/>
                <wp:positionH relativeFrom="column">
                  <wp:posOffset>31750</wp:posOffset>
                </wp:positionH>
                <wp:positionV relativeFrom="paragraph">
                  <wp:posOffset>28575</wp:posOffset>
                </wp:positionV>
                <wp:extent cx="6229350" cy="598805"/>
                <wp:effectExtent l="0" t="0" r="0" b="0"/>
                <wp:wrapNone/>
                <wp:docPr id="1" name="Shape1"/>
                <a:graphic xmlns:a="http://schemas.openxmlformats.org/drawingml/2006/main">
                  <a:graphicData uri="http://schemas.microsoft.com/office/word/2010/wordprocessingShape">
                    <wps:wsp>
                      <wps:cNvSpPr/>
                      <wps:spPr>
                        <a:xfrm>
                          <a:off x="0" y="0"/>
                          <a:ext cx="6228720" cy="598320"/>
                        </a:xfrm>
                        <a:prstGeom prst="rect">
                          <a:avLst/>
                        </a:prstGeom>
                        <a:noFill/>
                        <a:ln>
                          <a:solidFill>
                            <a:srgbClr val="000000"/>
                          </a:solidFill>
                        </a:ln>
                      </wps:spPr>
                      <wps:style>
                        <a:lnRef idx="0"/>
                        <a:fillRef idx="0"/>
                        <a:effectRef idx="0"/>
                        <a:fontRef idx="minor"/>
                      </wps:style>
                      <wps:txbx>
                        <w:txbxContent>
                          <w:p>
                            <w:pPr>
                              <w:pStyle w:val="FrameContents"/>
                              <w:overflowPunct w:val="true"/>
                              <w:spacing w:before="102" w:after="0"/>
                              <w:rPr>
                                <w:color w:val="000000"/>
                              </w:rPr>
                            </w:pPr>
                            <w:r>
                              <w:rPr>
                                <w:rFonts w:eastAsia="Calibri" w:cs=""/>
                                <w:color w:val="000000"/>
                                <w:sz w:val="24"/>
                              </w:rPr>
                              <w:t>Nella scelta dei tre titoli “</w:t>
                            </w:r>
                            <w:r>
                              <w:rPr>
                                <w:rFonts w:eastAsia="Calibri" w:cs=""/>
                                <w:color w:val="000000"/>
                                <w:sz w:val="24"/>
                              </w:rPr>
                              <w:t xml:space="preserve">accessori” </w:t>
                            </w:r>
                            <w:r>
                              <w:rPr>
                                <w:rFonts w:eastAsia="Calibri" w:cs=""/>
                                <w:color w:val="000000"/>
                                <w:sz w:val="24"/>
                              </w:rPr>
                              <w:t xml:space="preserve">ho </w:t>
                            </w:r>
                            <w:r>
                              <w:rPr>
                                <w:rFonts w:eastAsia="Calibri" w:cs=""/>
                                <w:color w:val="000000"/>
                                <w:sz w:val="24"/>
                              </w:rPr>
                              <w:t>privilegiato la varietà delle tematiche (Forecasting, Multiagent Reinforcement Learning, Rilevazione Patterns): due articoli e un brevetto di cui sono primo autore e principal investigator.</w:t>
                            </w:r>
                          </w:p>
                        </w:txbxContent>
                      </wps:txbx>
                      <wps:bodyPr lIns="0" rIns="0" tIns="0" bIns="0">
                        <a:spAutoFit/>
                      </wps:bodyPr>
                    </wps:wsp>
                  </a:graphicData>
                </a:graphic>
              </wp:anchor>
            </w:drawing>
          </mc:Choice>
          <mc:Fallback>
            <w:pict>
              <v:rect id="shape_0" ID="Shape1" stroked="t" style="position:absolute;margin-left:2.5pt;margin-top:2.25pt;width:490.4pt;height:47.05pt">
                <w10:wrap type="square"/>
                <v:fill o:detectmouseclick="t" on="false"/>
                <v:stroke color="black" joinstyle="round" endcap="flat"/>
                <v:textbox>
                  <w:txbxContent>
                    <w:p>
                      <w:pPr>
                        <w:pStyle w:val="FrameContents"/>
                        <w:overflowPunct w:val="true"/>
                        <w:spacing w:before="102" w:after="0"/>
                        <w:rPr>
                          <w:color w:val="000000"/>
                        </w:rPr>
                      </w:pPr>
                      <w:r>
                        <w:rPr>
                          <w:rFonts w:eastAsia="Calibri" w:cs=""/>
                          <w:color w:val="000000"/>
                          <w:sz w:val="24"/>
                        </w:rPr>
                        <w:t>Nella scelta dei tre titoli “</w:t>
                      </w:r>
                      <w:r>
                        <w:rPr>
                          <w:rFonts w:eastAsia="Calibri" w:cs=""/>
                          <w:color w:val="000000"/>
                          <w:sz w:val="24"/>
                        </w:rPr>
                        <w:t xml:space="preserve">accessori” </w:t>
                      </w:r>
                      <w:r>
                        <w:rPr>
                          <w:rFonts w:eastAsia="Calibri" w:cs=""/>
                          <w:color w:val="000000"/>
                          <w:sz w:val="24"/>
                        </w:rPr>
                        <w:t xml:space="preserve">ho </w:t>
                      </w:r>
                      <w:r>
                        <w:rPr>
                          <w:rFonts w:eastAsia="Calibri" w:cs=""/>
                          <w:color w:val="000000"/>
                          <w:sz w:val="24"/>
                        </w:rPr>
                        <w:t>privilegiato la varietà delle tematiche (Forecasting, Multiagent Reinforcement Learning, Rilevazione Patterns): due articoli e un brevetto di cui sono primo autore e principal investigator.</w:t>
                      </w:r>
                    </w:p>
                  </w:txbxContent>
                </v:textbox>
              </v:rect>
            </w:pict>
          </mc:Fallback>
        </mc:AlternateContent>
      </w:r>
    </w:p>
    <w:p>
      <w:pPr>
        <w:pStyle w:val="Normal"/>
        <w:rPr>
          <w:rFonts w:ascii="Arial" w:hAnsi="Arial" w:cs="Arial"/>
          <w:lang w:val="it-IT"/>
        </w:rPr>
      </w:pPr>
      <w:r>
        <w:rPr>
          <w:rFonts w:cs="Arial" w:ascii="Arial" w:hAnsi="Arial"/>
          <w:lang w:val="it-IT"/>
        </w:rPr>
      </w:r>
    </w:p>
    <w:p>
      <w:pPr>
        <w:pStyle w:val="Normal"/>
        <w:rPr>
          <w:rFonts w:ascii="Arial" w:hAnsi="Arial" w:cs="Arial"/>
          <w:lang w:val="it-IT"/>
        </w:rPr>
      </w:pPr>
      <w:r>
        <w:rPr>
          <w:rFonts w:cs="Arial" w:ascii="Arial" w:hAnsi="Arial"/>
          <w:lang w:val="it-IT"/>
        </w:rPr>
      </w:r>
    </w:p>
    <w:p>
      <w:pPr>
        <w:pStyle w:val="Normal"/>
        <w:rPr>
          <w:rFonts w:ascii="Arial" w:hAnsi="Arial" w:cs="Arial"/>
          <w:sz w:val="24"/>
          <w:lang w:val="it-IT"/>
        </w:rPr>
      </w:pPr>
      <w:r>
        <w:rPr>
          <w:rFonts w:cs="Arial" w:ascii="Arial" w:hAnsi="Arial"/>
          <w:sz w:val="24"/>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rFonts w:ascii="Arial" w:hAnsi="Arial" w:cs="Arial"/>
          <w:color w:val="434343"/>
        </w:rPr>
      </w:pPr>
      <w:r>
        <w:rPr>
          <w:rFonts w:cs="Arial" w:ascii="Arial" w:hAnsi="Arial"/>
          <w:color w:val="434343"/>
        </w:rPr>
      </w:r>
    </w:p>
    <w:p>
      <w:pPr>
        <w:pStyle w:val="Normal"/>
        <w:rPr>
          <w:rFonts w:ascii="Arial" w:hAnsi="Arial" w:cs="Arial"/>
          <w:sz w:val="33"/>
          <w:lang w:val="it-IT"/>
        </w:rPr>
      </w:pPr>
      <w:r>
        <w:rPr>
          <w:rFonts w:cs="Arial" w:ascii="Arial" w:hAnsi="Arial"/>
          <w:sz w:val="33"/>
          <w:lang w:val="it-IT"/>
        </w:rPr>
      </w:r>
    </w:p>
    <w:p>
      <w:pPr>
        <w:pStyle w:val="Normal"/>
        <w:rPr>
          <w:rFonts w:ascii="Arial" w:hAnsi="Arial" w:cs="Arial"/>
          <w:i/>
          <w:i/>
        </w:rPr>
      </w:pPr>
      <w:r>
        <w:rPr>
          <w:rFonts w:cs="Arial" w:ascii="Arial" w:hAnsi="Arial"/>
          <w:i/>
        </w:rPr>
      </w:r>
    </w:p>
    <w:p>
      <w:pPr>
        <w:pStyle w:val="TextBody"/>
        <w:rPr>
          <w:b w:val="false"/>
          <w:b w:val="false"/>
          <w:i/>
          <w:i/>
          <w:sz w:val="24"/>
          <w:lang w:val="it-IT"/>
        </w:rPr>
      </w:pPr>
      <w:r>
        <w:rPr>
          <w:b w:val="false"/>
          <w:i/>
          <w:sz w:val="24"/>
          <w:lang w:val="it-IT"/>
        </w:rPr>
      </w:r>
    </w:p>
    <w:p>
      <w:pPr>
        <w:pStyle w:val="Heading2"/>
        <w:ind w:left="0" w:hanging="0"/>
        <w:jc w:val="both"/>
        <w:rPr>
          <w:lang w:val="it-IT"/>
        </w:rPr>
      </w:pPr>
      <w:r>
        <w:rPr>
          <w:rFonts w:cs="Arial" w:ascii="Arial" w:hAnsi="Arial"/>
          <w:lang w:val="it-IT"/>
        </w:rPr>
        <w:t>Elenco Prodotti e Titoli ordinati, mediante assegnazione del numero progressivo (Nr….)</w:t>
      </w:r>
    </w:p>
    <w:p>
      <w:pPr>
        <w:pStyle w:val="Normal"/>
        <w:rPr>
          <w:rFonts w:ascii="Arial" w:hAnsi="Arial" w:cs="Arial"/>
          <w:sz w:val="24"/>
          <w:lang w:val="it-IT"/>
        </w:rPr>
      </w:pPr>
      <w:r>
        <w:rPr>
          <w:rFonts w:cs="Arial" w:ascii="Arial" w:hAnsi="Arial"/>
          <w:sz w:val="24"/>
          <w:lang w:val="it-IT"/>
        </w:rPr>
      </w:r>
    </w:p>
    <w:p>
      <w:pPr>
        <w:pStyle w:val="ListParagraph"/>
        <w:numPr>
          <w:ilvl w:val="0"/>
          <w:numId w:val="2"/>
        </w:numPr>
        <w:ind w:left="0" w:hanging="0"/>
        <w:rPr>
          <w:lang w:val="it-IT"/>
        </w:rPr>
      </w:pPr>
      <w:r>
        <w:rPr>
          <w:b/>
          <w:lang w:val="it-IT"/>
        </w:rPr>
        <w:t xml:space="preserve">Contributo in rivista </w:t>
      </w:r>
      <w:r>
        <w:rPr>
          <w:lang w:val="it-IT"/>
        </w:rPr>
        <w:t>[articolo, lettera, review, perspective, software/data paper, recensione, scheda bibliografica, traduzione, nota a sentenza]</w:t>
      </w:r>
    </w:p>
    <w:p>
      <w:pPr>
        <w:pStyle w:val="Normal"/>
        <w:rPr>
          <w:rFonts w:ascii="Arial" w:hAnsi="Arial" w:cs="Arial"/>
          <w:sz w:val="20"/>
          <w:lang w:val="it-IT"/>
        </w:rPr>
      </w:pPr>
      <w:r>
        <w:rPr>
          <w:rFonts w:cs="Arial" w:ascii="Arial" w:hAnsi="Arial"/>
          <w:sz w:val="20"/>
          <w:lang w:val="it-IT"/>
        </w:rPr>
      </w:r>
    </w:p>
    <w:p>
      <w:pPr>
        <w:pStyle w:val="Normal"/>
        <w:rPr>
          <w:rFonts w:ascii="Arial" w:hAnsi="Arial" w:cs="Arial"/>
          <w:sz w:val="20"/>
          <w:lang w:val="it-IT"/>
        </w:rPr>
      </w:pPr>
      <w:r>
        <w:rPr>
          <w:rFonts w:cs="Arial" w:ascii="Arial" w:hAnsi="Arial"/>
          <w:sz w:val="20"/>
          <w:lang w:val="it-IT"/>
        </w:rPr>
      </w:r>
    </w:p>
    <w:p>
      <w:pPr>
        <w:pStyle w:val="Normal"/>
        <w:rPr>
          <w:rFonts w:ascii="Arial" w:hAnsi="Arial" w:cs="Arial"/>
          <w:sz w:val="10"/>
          <w:lang w:val="it-IT"/>
        </w:rPr>
      </w:pPr>
      <w:r>
        <w:rPr>
          <w:rFonts w:cs="Arial" w:ascii="Arial" w:hAnsi="Arial"/>
          <w:sz w:val="10"/>
          <w:lang w:val="it-IT"/>
        </w:rPr>
      </w:r>
    </w:p>
    <w:tbl>
      <w:tblPr>
        <w:tblStyle w:val="TableNormal"/>
        <w:tblW w:w="9780" w:type="dxa"/>
        <w:jc w:val="left"/>
        <w:tblInd w:w="218" w:type="dxa"/>
        <w:tblCellMar>
          <w:top w:w="0" w:type="dxa"/>
          <w:left w:w="108" w:type="dxa"/>
          <w:bottom w:w="0" w:type="dxa"/>
          <w:right w:w="108" w:type="dxa"/>
        </w:tblCellMar>
        <w:tblLook w:val="01e0" w:noHBand="0" w:noVBand="0" w:firstColumn="1" w:lastRow="1" w:lastColumn="1" w:firstRow="1"/>
      </w:tblPr>
      <w:tblGrid>
        <w:gridCol w:w="9780"/>
      </w:tblGrid>
      <w:tr>
        <w:trPr>
          <w:trHeight w:val="239"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b/>
                <w:sz w:val="20"/>
                <w:lang w:val="it-IT"/>
              </w:rPr>
              <w:t>Nr 1</w:t>
            </w:r>
          </w:p>
        </w:tc>
      </w:tr>
      <w:tr>
        <w:trPr>
          <w:trHeight w:val="22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Tipologia prodotto </w:t>
            </w:r>
            <w:r>
              <w:rPr>
                <w:rFonts w:cs="Arial" w:ascii="Arial" w:hAnsi="Arial"/>
                <w:b/>
                <w:bCs/>
                <w:sz w:val="20"/>
                <w:lang w:val="it-IT"/>
              </w:rPr>
              <w:t>articolo in rivista</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pPr>
            <w:r>
              <w:rPr>
                <w:rFonts w:cs="Arial" w:ascii="Arial" w:hAnsi="Arial"/>
                <w:sz w:val="20"/>
                <w:lang w:val="it-IT"/>
              </w:rPr>
              <w:t xml:space="preserve">Titolo </w:t>
            </w:r>
            <w:r>
              <w:rPr>
                <w:rFonts w:cs="Arial" w:ascii="Arial" w:hAnsi="Arial"/>
                <w:b/>
                <w:bCs/>
                <w:sz w:val="20"/>
                <w:lang w:val="it-IT"/>
              </w:rPr>
              <w:t>Forecasting PM</w:t>
            </w:r>
            <w:r>
              <w:rPr>
                <w:rFonts w:cs="Arial" w:ascii="Arial" w:hAnsi="Arial"/>
                <w:b/>
                <w:bCs/>
                <w:position w:val="-7"/>
                <w:sz w:val="16"/>
                <w:sz w:val="20"/>
                <w:lang w:val="it-IT"/>
              </w:rPr>
              <w:t>10</w:t>
            </w:r>
            <w:r>
              <w:rPr>
                <w:rFonts w:cs="Arial" w:ascii="Arial" w:hAnsi="Arial"/>
                <w:b/>
                <w:bCs/>
                <w:sz w:val="20"/>
                <w:lang w:val="it-IT"/>
              </w:rPr>
              <w:t xml:space="preserve"> Levels Using Machine Learning Models in the Arctic: A Comparative Study</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pPr>
            <w:r>
              <w:rPr>
                <w:rFonts w:cs="Arial" w:ascii="Arial" w:hAnsi="Arial"/>
                <w:sz w:val="20"/>
                <w:lang w:val="it-IT"/>
              </w:rPr>
              <w:t xml:space="preserve">Elenco autori: </w:t>
            </w:r>
            <w:r>
              <w:rPr>
                <w:rFonts w:cs="Arial" w:ascii="Arial" w:hAnsi="Arial"/>
                <w:b/>
                <w:bCs/>
                <w:sz w:val="20"/>
                <w:lang w:val="it-IT"/>
              </w:rPr>
              <w:t xml:space="preserve">Paolo Fazzini, Marco Montuori, </w:t>
            </w:r>
            <w:r>
              <w:rPr>
                <w:rFonts w:eastAsia="Arial MT" w:cs="Arial" w:ascii="Arial" w:hAnsi="Arial"/>
                <w:b/>
                <w:bCs/>
                <w:color w:val="auto"/>
                <w:kern w:val="0"/>
                <w:sz w:val="20"/>
                <w:szCs w:val="22"/>
                <w:lang w:val="it-IT" w:eastAsia="en-US" w:bidi="ar-SA"/>
              </w:rPr>
              <w:t>Antonello Pasini</w:t>
            </w:r>
            <w:r>
              <w:rPr>
                <w:rFonts w:cs="Arial" w:ascii="Arial" w:hAnsi="Arial"/>
                <w:b/>
                <w:bCs/>
                <w:sz w:val="20"/>
                <w:lang w:val="it-IT"/>
              </w:rPr>
              <w:t>, Alice Cuzzucoli, Ilaria Crotti, Emilio Fortunato Campana, Francesco Petracchini, Srdjan Dobricic</w:t>
            </w:r>
          </w:p>
        </w:tc>
      </w:tr>
      <w:tr>
        <w:trPr>
          <w:trHeight w:val="46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Ruolo svolto (autore principale;primo autore;ultimo autore;corresponding author; primo autore alla pari, coautore): </w:t>
            </w:r>
            <w:r>
              <w:rPr>
                <w:rFonts w:cs="Arial" w:ascii="Arial" w:hAnsi="Arial"/>
                <w:b/>
                <w:bCs/>
                <w:sz w:val="20"/>
                <w:lang w:val="it-IT"/>
              </w:rPr>
              <w:t>autore principale e primo autore</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Rivista </w:t>
            </w:r>
            <w:r>
              <w:rPr>
                <w:rFonts w:cs="Arial" w:ascii="Arial" w:hAnsi="Arial"/>
                <w:b/>
                <w:bCs/>
                <w:i w:val="false"/>
                <w:sz w:val="20"/>
                <w:lang w:val="it-IT"/>
              </w:rPr>
              <w:t>Remote Sensing (MDPI)</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Anno pubblicazione </w:t>
            </w:r>
            <w:r>
              <w:rPr>
                <w:rFonts w:cs="Arial" w:ascii="Arial" w:hAnsi="Arial"/>
                <w:b/>
                <w:bCs/>
                <w:sz w:val="20"/>
                <w:lang w:val="it-IT"/>
              </w:rPr>
              <w:t>202</w:t>
            </w:r>
            <w:r>
              <w:rPr>
                <w:rFonts w:cs="Arial" w:ascii="Arial" w:hAnsi="Arial"/>
                <w:b/>
                <w:bCs/>
                <w:sz w:val="20"/>
                <w:lang w:val="it-IT"/>
              </w:rPr>
              <w:t>3</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Pagine: </w:t>
            </w:r>
            <w:r>
              <w:rPr>
                <w:rFonts w:cs="Arial" w:ascii="Arial" w:hAnsi="Arial"/>
                <w:b/>
                <w:bCs/>
                <w:sz w:val="20"/>
                <w:lang w:val="it-IT"/>
              </w:rPr>
              <w:t>2</w:t>
            </w:r>
            <w:r>
              <w:rPr>
                <w:rFonts w:eastAsia="Arial MT" w:cs="Arial" w:ascii="Arial" w:hAnsi="Arial"/>
                <w:b/>
                <w:bCs/>
                <w:color w:val="auto"/>
                <w:kern w:val="0"/>
                <w:sz w:val="20"/>
                <w:szCs w:val="22"/>
                <w:lang w:val="it-IT" w:eastAsia="en-US" w:bidi="ar-SA"/>
              </w:rPr>
              <w:t>6</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pPr>
            <w:r>
              <w:rPr>
                <w:rFonts w:cs="Arial" w:ascii="Arial" w:hAnsi="Arial"/>
                <w:sz w:val="20"/>
                <w:lang w:val="it-IT"/>
              </w:rPr>
              <w:t>Codice identificativo (ISSN)</w:t>
            </w:r>
            <w:r>
              <w:rPr>
                <w:rFonts w:cs="Arial" w:ascii="Arial" w:hAnsi="Arial"/>
                <w:sz w:val="20"/>
                <w:u w:val="none"/>
                <w:lang w:val="it-IT"/>
              </w:rPr>
              <w:t xml:space="preserve"> </w:t>
            </w:r>
            <w:hyperlink r:id="rId2">
              <w:r>
                <w:rPr>
                  <w:rStyle w:val="InternetLink"/>
                  <w:rFonts w:cs="Arial" w:ascii="Arial" w:hAnsi="Arial"/>
                  <w:b/>
                  <w:bCs/>
                  <w:sz w:val="20"/>
                  <w:u w:val="none"/>
                </w:rPr>
                <w:t>2072-4292</w:t>
              </w:r>
            </w:hyperlink>
            <w:r>
              <w:rPr>
                <w:rFonts w:cs="Arial" w:ascii="Arial" w:hAnsi="Arial"/>
                <w:b/>
                <w:bCs/>
                <w:sz w:val="20"/>
                <w:u w:val="none"/>
              </w:rPr>
              <w:t>https://</w:t>
            </w:r>
          </w:p>
          <w:p>
            <w:pPr>
              <w:pStyle w:val="TableParagraph"/>
              <w:spacing w:lineRule="auto" w:line="240"/>
              <w:ind w:left="0" w:hanging="0"/>
              <w:rPr/>
            </w:pPr>
            <w:r>
              <w:rPr>
                <w:rFonts w:cs="Arial" w:ascii="Arial" w:hAnsi="Arial"/>
                <w:b/>
                <w:bCs/>
                <w:sz w:val="20"/>
                <w:u w:val="none"/>
              </w:rPr>
              <w:t>doi.org/10.3390/rs15133348</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DOI </w:t>
            </w:r>
            <w:r>
              <w:rPr>
                <w:rFonts w:cs="Arial" w:ascii="Arial" w:hAnsi="Arial"/>
                <w:b/>
                <w:bCs/>
                <w:sz w:val="20"/>
                <w:lang w:val="it-IT"/>
              </w:rPr>
              <w:t>https://doi.org/10.3390/rs15133348</w:t>
            </w:r>
          </w:p>
        </w:tc>
      </w:tr>
      <w:tr>
        <w:trPr>
          <w:trHeight w:val="253"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Lingua del prodotto </w:t>
            </w:r>
            <w:r>
              <w:rPr>
                <w:rFonts w:cs="Arial" w:ascii="Arial" w:hAnsi="Arial"/>
                <w:b/>
                <w:bCs/>
                <w:sz w:val="20"/>
                <w:lang w:val="it-IT"/>
              </w:rPr>
              <w:t>Inglese</w:t>
            </w:r>
          </w:p>
        </w:tc>
      </w:tr>
      <w:tr>
        <w:trPr>
          <w:trHeight w:val="251"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Abstract (MCSI 1000):</w:t>
              <w:br/>
            </w:r>
            <w:r>
              <w:rPr>
                <w:rFonts w:cs="Arial" w:ascii="Arial" w:hAnsi="Arial"/>
                <w:b/>
                <w:bCs/>
                <w:sz w:val="20"/>
                <w:lang w:val="en-US"/>
              </w:rPr>
              <w:t>The present study focuses on the use of Convolutional Neural Networks (CNN or ConvNet)</w:t>
            </w:r>
          </w:p>
          <w:p>
            <w:pPr>
              <w:pStyle w:val="TableParagraph"/>
              <w:spacing w:lineRule="auto" w:line="240"/>
              <w:ind w:left="0" w:hanging="0"/>
              <w:rPr>
                <w:b/>
                <w:b/>
                <w:bCs/>
                <w:lang w:val="en-US"/>
              </w:rPr>
            </w:pPr>
            <w:r>
              <w:rPr>
                <w:rFonts w:cs="Arial" w:ascii="Arial" w:hAnsi="Arial"/>
                <w:b/>
                <w:bCs/>
                <w:sz w:val="20"/>
                <w:lang w:val="en-US"/>
              </w:rPr>
              <w:t>to classify a multi-seasonal dataset of Sentinel-2 images to discriminate four grassland habitats in</w:t>
            </w:r>
          </w:p>
          <w:p>
            <w:pPr>
              <w:pStyle w:val="TableParagraph"/>
              <w:spacing w:lineRule="auto" w:line="240"/>
              <w:ind w:left="0" w:hanging="0"/>
              <w:rPr>
                <w:b/>
                <w:b/>
                <w:bCs/>
                <w:lang w:val="en-US"/>
              </w:rPr>
            </w:pPr>
            <w:r>
              <w:rPr>
                <w:rFonts w:cs="Arial" w:ascii="Arial" w:hAnsi="Arial"/>
                <w:b/>
                <w:bCs/>
                <w:sz w:val="20"/>
                <w:lang w:val="en-US"/>
              </w:rPr>
              <w:t>the “Murgia Alta” protected site. To this end, we compared two approaches differing only by the</w:t>
            </w:r>
          </w:p>
          <w:p>
            <w:pPr>
              <w:pStyle w:val="TableParagraph"/>
              <w:spacing w:lineRule="auto" w:line="240"/>
              <w:ind w:left="0" w:hanging="0"/>
              <w:rPr>
                <w:b/>
                <w:b/>
                <w:bCs/>
                <w:lang w:val="en-US"/>
              </w:rPr>
            </w:pPr>
            <w:r>
              <w:rPr>
                <w:rFonts w:cs="Arial" w:ascii="Arial" w:hAnsi="Arial"/>
                <w:b/>
                <w:bCs/>
                <w:sz w:val="20"/>
                <w:lang w:val="en-US"/>
              </w:rPr>
              <w:t>first layer machinery, which, in one case, is instantiated as a fully-connected layer and, in the other</w:t>
            </w:r>
          </w:p>
          <w:p>
            <w:pPr>
              <w:pStyle w:val="TableParagraph"/>
              <w:spacing w:lineRule="auto" w:line="240"/>
              <w:ind w:left="0" w:hanging="0"/>
              <w:rPr>
                <w:b/>
                <w:b/>
                <w:bCs/>
                <w:lang w:val="en-US"/>
              </w:rPr>
            </w:pPr>
            <w:r>
              <w:rPr>
                <w:rFonts w:cs="Arial" w:ascii="Arial" w:hAnsi="Arial"/>
                <w:b/>
                <w:bCs/>
                <w:sz w:val="20"/>
                <w:lang w:val="en-US"/>
              </w:rPr>
              <w:t>case, results in a ConvNet equipped with kernels covering the whole input (wide-kernel ConvNet).</w:t>
            </w:r>
          </w:p>
          <w:p>
            <w:pPr>
              <w:pStyle w:val="TableParagraph"/>
              <w:spacing w:lineRule="auto" w:line="240"/>
              <w:ind w:left="0" w:hanging="0"/>
              <w:rPr>
                <w:b/>
                <w:b/>
                <w:bCs/>
                <w:lang w:val="en-US"/>
              </w:rPr>
            </w:pPr>
            <w:r>
              <w:rPr>
                <w:rFonts w:cs="Arial" w:ascii="Arial" w:hAnsi="Arial"/>
                <w:b/>
                <w:bCs/>
                <w:sz w:val="20"/>
                <w:lang w:val="en-US"/>
              </w:rPr>
              <w:t>A patchwise approach, tessellating training reference data in square patches, was adopted. Besides</w:t>
            </w:r>
          </w:p>
          <w:p>
            <w:pPr>
              <w:pStyle w:val="TableParagraph"/>
              <w:spacing w:lineRule="auto" w:line="240"/>
              <w:ind w:left="0" w:hanging="0"/>
              <w:rPr>
                <w:b/>
                <w:b/>
                <w:bCs/>
                <w:lang w:val="en-US"/>
              </w:rPr>
            </w:pPr>
            <w:r>
              <w:rPr>
                <w:rFonts w:cs="Arial" w:ascii="Arial" w:hAnsi="Arial"/>
                <w:b/>
                <w:bCs/>
                <w:sz w:val="20"/>
                <w:lang w:val="en-US"/>
              </w:rPr>
              <w:t>assessing the effectiveness of ConvNets with patched multispectral data, we analyzed how the</w:t>
            </w:r>
          </w:p>
          <w:p>
            <w:pPr>
              <w:pStyle w:val="TableParagraph"/>
              <w:spacing w:lineRule="auto" w:line="240"/>
              <w:ind w:left="0" w:hanging="0"/>
              <w:rPr>
                <w:lang w:val="en-US"/>
              </w:rPr>
            </w:pPr>
            <w:r>
              <w:rPr>
                <w:rFonts w:cs="Arial" w:ascii="Arial" w:hAnsi="Arial"/>
                <w:b/>
                <w:bCs/>
                <w:sz w:val="20"/>
                <w:lang w:val="en-US"/>
              </w:rPr>
              <w:t>information needed for classification spreads to patterns over convex sets of pixels. Our results show that: (a) with an F1-score of around 97% (5 × 5 patch size), ConvNets provides an excellent tool for patch-based pattern recognition with multispectral input data without requiring special feature extraction; (b) the information spreads over the limit of a single pixel: the performance of the network increases until 5 × 5 patch sizes are used and then ConvNet performance starts decreasing.In this study, we present a statistical forecasting framework and assess its efficacy using a range of established machine learning algorithms for predicting Particulate Matter (PM) concentrations in the Arctic, specifically in Pallas (FI), Reykjavik (IS), and Tromso (NO). Our framework leverages historical ground measurements and 24 h predictions from nine models by the Copernicus Atmosphere Monitoring Service (CAMS) to provide PM10 predictions for the following 24 h. Furthermore, we compare the performance of various memory cells based on artificial neural networks (ANN), including recurrent neural networks (RNNs), gated recurrent units (GRUs), long short-term memory networks (LSTMs), echo state networks (ESNs), and windowed multilayer perceptrons (MLPs). Regardless of the type of memory cell chosen, our results consistently show that the proposed framework outperforms the CAMS models in terms of mean squared error (MSE), with average improvements ranging from 25% to 40%. Furthermore, we examine the impact of outliers on the overall performance of the model.</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Parole chiave (max 5): </w:t>
            </w:r>
            <w:r>
              <w:rPr>
                <w:rFonts w:cs="Arial" w:ascii="Arial" w:hAnsi="Arial"/>
                <w:b/>
                <w:bCs/>
                <w:sz w:val="20"/>
                <w:lang w:val="it-IT"/>
              </w:rPr>
              <w:t xml:space="preserve">deep learning; PM10; environmental forecasting; chaotic time series; </w:t>
            </w:r>
            <w:r>
              <w:rPr>
                <w:rFonts w:eastAsia="Arial MT" w:cs="Arial" w:ascii="Arial" w:hAnsi="Arial"/>
                <w:b/>
                <w:bCs/>
                <w:color w:val="auto"/>
                <w:kern w:val="0"/>
                <w:sz w:val="20"/>
                <w:szCs w:val="22"/>
                <w:lang w:val="it-IT" w:eastAsia="en-US" w:bidi="ar-SA"/>
              </w:rPr>
              <w:t>a</w:t>
            </w:r>
            <w:r>
              <w:rPr>
                <w:rFonts w:cs="Arial" w:ascii="Arial" w:hAnsi="Arial"/>
                <w:b/>
                <w:bCs/>
                <w:sz w:val="20"/>
                <w:lang w:val="it-IT"/>
              </w:rPr>
              <w:t>rctic</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Descrittori ERC (terzo livello, max 3): </w:t>
            </w:r>
            <w:r>
              <w:rPr>
                <w:rFonts w:cs="Arial" w:ascii="Arial" w:hAnsi="Arial"/>
                <w:b/>
                <w:bCs/>
                <w:sz w:val="20"/>
                <w:lang w:val="it-IT"/>
              </w:rPr>
              <w:t>PE6_11 Machine learning, statistical data processing and applications using signal processing</w:t>
            </w:r>
          </w:p>
        </w:tc>
      </w:tr>
      <w:tr>
        <w:trPr>
          <w:trHeight w:val="263"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pPr>
            <w:r>
              <w:rPr>
                <w:rFonts w:cs="Arial" w:ascii="Arial" w:hAnsi="Arial"/>
                <w:b w:val="false"/>
                <w:bCs w:val="false"/>
                <w:sz w:val="20"/>
                <w:lang w:val="it-IT"/>
              </w:rPr>
              <w:t>Impatto descritto in forma narrativa, supportato da indicatori se ritenuto rilevante (MCSI 1000):</w:t>
            </w:r>
            <w:r>
              <w:rPr>
                <w:rFonts w:cs="Arial" w:ascii="Arial" w:hAnsi="Arial"/>
                <w:b/>
                <w:bCs/>
                <w:sz w:val="20"/>
                <w:lang w:val="it-IT"/>
              </w:rPr>
              <w:br/>
              <w:t xml:space="preserve">Questo studio valuta l'efficacia di </w:t>
            </w:r>
            <w:r>
              <w:rPr>
                <w:rFonts w:eastAsia="Arial MT" w:cs="Arial" w:ascii="Arial" w:hAnsi="Arial"/>
                <w:b/>
                <w:bCs/>
                <w:color w:val="auto"/>
                <w:kern w:val="0"/>
                <w:sz w:val="20"/>
                <w:szCs w:val="22"/>
                <w:lang w:val="it-IT" w:eastAsia="en-US" w:bidi="ar-SA"/>
              </w:rPr>
              <w:t>vari</w:t>
            </w:r>
            <w:r>
              <w:rPr>
                <w:rFonts w:cs="Arial" w:ascii="Arial" w:hAnsi="Arial"/>
                <w:b/>
                <w:bCs/>
                <w:sz w:val="20"/>
                <w:lang w:val="it-IT"/>
              </w:rPr>
              <w:t xml:space="preserve"> algoritmi di machine learning per prevedere concentrazioni di PM10 in stazioni artiche (Pallas, Reykjavik, Tromso). Il framework proposto combina misurazioni storiche sul campo con previsioni a 24h di nove modelli CAMS (Copernicus Atmosphere Monitoring Service). Sono stati testati vari tipi di celle di memoria: reti neurali ricorrenti (RNN), unità ricorrenti gated (GRU), reti LSTM, echo state networks (ESN) e </w:t>
            </w:r>
            <w:r>
              <w:rPr>
                <w:rFonts w:cs="Arial" w:ascii="Arial" w:hAnsi="Arial"/>
                <w:b/>
                <w:bCs/>
                <w:sz w:val="20"/>
                <w:lang w:val="it-IT"/>
              </w:rPr>
              <w:t>multi</w:t>
            </w:r>
            <w:r>
              <w:rPr>
                <w:rFonts w:cs="Arial" w:ascii="Arial" w:hAnsi="Arial"/>
                <w:b/>
                <w:bCs/>
                <w:sz w:val="20"/>
                <w:lang w:val="it-IT"/>
              </w:rPr>
              <w:t>perceptron.</w:t>
            </w:r>
          </w:p>
          <w:p>
            <w:pPr>
              <w:pStyle w:val="TextBody"/>
              <w:spacing w:before="0" w:after="283"/>
              <w:rPr/>
            </w:pPr>
            <w:r>
              <w:rPr/>
              <w:t>I risultati mostrano che l'architettura proposta supera costantemente i modelli CAMS in termini di errore quadratico medio (MSE), con miglioramenti del 25-40%. Lo studio analizza anche l'impatto degli outlier sulle prestazioni del modello, dimostrando che la loro rimozione migliora significativamente la qualità delle previsioni. L'approccio si rivela particolarmente efficace nel catturare le dinamiche temporali dei dati artici di PM1</w:t>
            </w:r>
            <w:r>
              <w:rPr/>
              <w:t>0.</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pPr>
            <w:r>
              <w:rPr>
                <w:rFonts w:cs="Arial" w:ascii="Arial" w:hAnsi="Arial"/>
                <w:sz w:val="20"/>
                <w:lang w:val="it-IT"/>
              </w:rPr>
              <w:t xml:space="preserve">A chi è rivolto (audience) (MCSI 250): </w:t>
            </w:r>
            <w:r>
              <w:rPr>
                <w:rFonts w:eastAsia="Arial MT" w:cs="Arial" w:ascii="Arial" w:hAnsi="Arial"/>
                <w:b/>
                <w:bCs/>
                <w:sz w:val="20"/>
                <w:lang w:val="it-IT"/>
              </w:rPr>
              <w:t>Ricercatori in scienze ambientali e qualità dell'aria, agenzie meteorologiche nazionali (CAMS, FMI), enti di monitoraggio ambientale europei (EEA), istituzioni artiche (AMAP), decisori politici per politiche climatiche, sviluppatori di sistemi di early warning, ingegneri ambientali, consulenti per la qualità dell'aria.</w:t>
            </w:r>
          </w:p>
        </w:tc>
      </w:tr>
      <w:tr>
        <w:trPr>
          <w:trHeight w:val="28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Indicare se il prodotto ha superato un processo di revisione tra pari: </w:t>
            </w:r>
            <w:r>
              <w:rPr>
                <w:rFonts w:cs="Arial" w:ascii="Arial" w:hAnsi="Arial"/>
                <w:b/>
                <w:bCs/>
                <w:sz w:val="20"/>
                <w:lang w:val="it-IT"/>
              </w:rPr>
              <w:t>Sì</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b/>
                <w:b/>
                <w:bCs/>
                <w:lang w:val="it-IT"/>
              </w:rPr>
            </w:pPr>
            <w:r>
              <w:rPr>
                <w:rFonts w:cs="Arial" w:ascii="Arial" w:hAnsi="Arial"/>
                <w:b/>
                <w:bCs/>
                <w:sz w:val="20"/>
                <w:lang w:val="it-IT"/>
              </w:rPr>
              <w:t xml:space="preserve">Link a dati associati (DOI o URL, se disponibile): </w:t>
            </w:r>
            <w:hyperlink r:id="rId3">
              <w:r>
                <w:rPr>
                  <w:rStyle w:val="InternetLink"/>
                  <w:rFonts w:cs="Arial" w:ascii="Arial" w:hAnsi="Arial"/>
                  <w:b/>
                  <w:bCs/>
                  <w:sz w:val="20"/>
                  <w:lang w:val="it-IT"/>
                </w:rPr>
                <w:t>https://github.com/pfaz69/ForecastPM</w:t>
              </w:r>
            </w:hyperlink>
            <w:r>
              <w:rPr>
                <w:rFonts w:cs="Arial" w:ascii="Arial" w:hAnsi="Arial"/>
                <w:b/>
                <w:bCs/>
                <w:sz w:val="20"/>
                <w:u w:val="none"/>
                <w:lang w:val="it-IT"/>
              </w:rPr>
              <w:t xml:space="preserve"> </w:t>
            </w:r>
            <w:r>
              <w:rPr>
                <w:rFonts w:cs="Arial" w:ascii="Arial" w:hAnsi="Arial"/>
                <w:b/>
                <w:bCs/>
                <w:sz w:val="20"/>
                <w:u w:val="none"/>
                <w:lang w:val="it-IT"/>
              </w:rPr>
              <w:t>(codice sorgente utilizzato nello studio)</w:t>
            </w:r>
          </w:p>
        </w:tc>
      </w:tr>
      <w:tr>
        <w:trPr>
          <w:trHeight w:val="86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jc w:val="both"/>
              <w:rPr>
                <w:lang w:val="it-IT"/>
              </w:rPr>
            </w:pPr>
            <w:r>
              <w:rPr>
                <w:rFonts w:cs="Arial" w:ascii="Arial" w:hAnsi="Arial"/>
                <w:sz w:val="20"/>
                <w:lang w:val="it-IT"/>
              </w:rPr>
              <w:t xml:space="preserve">Tipo di accessibilità (selezionare le opzioni rilevanti): </w:t>
            </w:r>
            <w:r>
              <w:rPr>
                <w:rFonts w:cs="Arial" w:ascii="Arial" w:hAnsi="Arial"/>
                <w:b/>
                <w:bCs/>
                <w:sz w:val="20"/>
                <w:lang w:val="it-IT"/>
              </w:rPr>
              <w:t>Riviste Open Access: il prodotto è liberamente e gratuitamente accessibile su piattaforma della casa editrice MDPI e della rivista Remote Sensing (</w:t>
            </w:r>
            <w:r>
              <w:rPr>
                <w:rFonts w:cs="Arial" w:ascii="Arial" w:hAnsi="Arial"/>
                <w:b/>
                <w:bCs/>
                <w:sz w:val="20"/>
                <w:u w:val="none"/>
                <w:lang w:val="it-IT"/>
              </w:rPr>
              <w:t>https://doi.org/10.3390/rs15133348</w:t>
            </w:r>
            <w:r>
              <w:rPr>
                <w:rFonts w:cs="Arial" w:ascii="Arial" w:hAnsi="Arial"/>
                <w:b/>
                <w:bCs/>
                <w:sz w:val="20"/>
                <w:lang w:val="it-IT"/>
              </w:rPr>
              <w:t>).</w:t>
            </w:r>
          </w:p>
        </w:tc>
      </w:tr>
      <w:tr>
        <w:trPr>
          <w:trHeight w:val="134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pPr>
            <w:r>
              <w:rPr>
                <w:rFonts w:cs="Arial" w:ascii="Arial" w:hAnsi="Arial"/>
                <w:sz w:val="20"/>
                <w:lang w:val="it-IT"/>
              </w:rPr>
              <w:t xml:space="preserve">Specificare se il prodotto si riferisce ad aree emergenti, di forte specializzazione o marcatamente interdisciplinari: (MCSI 500): </w:t>
              <w:br/>
            </w:r>
            <w:r>
              <w:rPr>
                <w:rFonts w:cs="Arial" w:ascii="Arial" w:hAnsi="Arial"/>
                <w:b/>
                <w:bCs/>
                <w:sz w:val="20"/>
                <w:lang w:val="it-IT"/>
              </w:rPr>
              <w:t>Il prodotto si riferisce a un'area marcatamente interdisciplinare che combina scienze ambientali per il monitoraggio della qualità dell'aria, machine learning e intelligenza artificiale, meteorologia e modellistica atmosferica, informatica con focus su reti neurali ed elaborazione dati, e studi artici legati ai cambiamenti climatici. Rappresenta inoltre un'area emergente nell'applicazione di AI avanzata al monitoraggio ambientale, particolarmente rilevante per le regioni polari che subiscono rapidi cambiamenti climatici e richiedono nuove metodologie predittive per la gestione della qualità dell'aria.</w:t>
            </w:r>
            <w:r>
              <w:rPr>
                <w:rFonts w:cs="Arial" w:ascii="Arial" w:hAnsi="Arial"/>
                <w:sz w:val="20"/>
                <w:lang w:val="it-IT"/>
              </w:rPr>
              <w:br/>
            </w:r>
          </w:p>
        </w:tc>
      </w:tr>
      <w:tr>
        <w:trPr>
          <w:trHeight w:val="46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Altre informazioni: (MCSI 500)</w:t>
            </w:r>
          </w:p>
        </w:tc>
      </w:tr>
    </w:tbl>
    <w:p>
      <w:pPr>
        <w:pStyle w:val="Normal"/>
        <w:rPr>
          <w:rFonts w:ascii="Arial" w:hAnsi="Arial" w:cs="Arial"/>
          <w:sz w:val="24"/>
          <w:szCs w:val="24"/>
          <w:lang w:val="it-IT"/>
        </w:rPr>
      </w:pPr>
      <w:r>
        <w:rPr>
          <w:rFonts w:cs="Arial" w:ascii="Arial" w:hAnsi="Arial"/>
          <w:sz w:val="24"/>
          <w:szCs w:val="24"/>
          <w:lang w:val="it-IT"/>
        </w:rPr>
      </w:r>
    </w:p>
    <w:p>
      <w:pPr>
        <w:pStyle w:val="Normal"/>
        <w:rPr>
          <w:rFonts w:ascii="Arial" w:hAnsi="Arial" w:cs="Arial"/>
          <w:sz w:val="24"/>
          <w:szCs w:val="24"/>
          <w:lang w:val="it-IT"/>
        </w:rPr>
      </w:pPr>
      <w:r>
        <w:rPr>
          <w:rFonts w:cs="Arial" w:ascii="Arial" w:hAnsi="Arial"/>
          <w:sz w:val="24"/>
          <w:szCs w:val="24"/>
          <w:lang w:val="it-IT"/>
        </w:rPr>
      </w:r>
    </w:p>
    <w:p>
      <w:pPr>
        <w:pStyle w:val="Normal"/>
        <w:numPr>
          <w:ilvl w:val="0"/>
          <w:numId w:val="0"/>
        </w:numPr>
        <w:ind w:left="100" w:hanging="0"/>
        <w:rPr>
          <w:rFonts w:ascii="Arial" w:hAnsi="Arial" w:cs="Arial"/>
          <w:sz w:val="20"/>
        </w:rPr>
      </w:pPr>
      <w:r>
        <w:rPr>
          <w:rFonts w:cs="Arial" w:ascii="Arial" w:hAnsi="Arial"/>
          <w:sz w:val="20"/>
        </w:rPr>
      </w:r>
    </w:p>
    <w:tbl>
      <w:tblPr>
        <w:tblStyle w:val="TableNormal"/>
        <w:tblW w:w="9780" w:type="dxa"/>
        <w:jc w:val="left"/>
        <w:tblInd w:w="218" w:type="dxa"/>
        <w:tblCellMar>
          <w:top w:w="0" w:type="dxa"/>
          <w:left w:w="108" w:type="dxa"/>
          <w:bottom w:w="0" w:type="dxa"/>
          <w:right w:w="108" w:type="dxa"/>
        </w:tblCellMar>
        <w:tblLook w:val="01e0" w:noHBand="0" w:noVBand="0" w:firstColumn="1" w:lastRow="1" w:lastColumn="1" w:firstRow="1"/>
      </w:tblPr>
      <w:tblGrid>
        <w:gridCol w:w="9780"/>
      </w:tblGrid>
      <w:tr>
        <w:trPr>
          <w:trHeight w:val="239"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b/>
                <w:b/>
                <w:sz w:val="20"/>
              </w:rPr>
            </w:pPr>
            <w:r>
              <w:rPr>
                <w:rFonts w:cs="Arial" w:ascii="Arial" w:hAnsi="Arial"/>
                <w:b/>
                <w:sz w:val="20"/>
              </w:rPr>
              <w:t>Nr 2</w:t>
            </w:r>
          </w:p>
        </w:tc>
      </w:tr>
      <w:tr>
        <w:trPr>
          <w:trHeight w:val="22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Tipologia prodotto: </w:t>
            </w:r>
            <w:r>
              <w:rPr>
                <w:rFonts w:cs="Arial" w:ascii="Arial" w:hAnsi="Arial"/>
                <w:b/>
                <w:bCs/>
                <w:sz w:val="20"/>
                <w:lang w:val="it-IT"/>
              </w:rPr>
              <w:t>articolo in rivista</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Titolo: </w:t>
            </w:r>
            <w:r>
              <w:rPr>
                <w:rFonts w:cs="Arial" w:ascii="Arial" w:hAnsi="Arial"/>
                <w:b/>
                <w:bCs/>
                <w:sz w:val="20"/>
              </w:rPr>
              <w:t>Effects of Smart Traffic Signal Control on Air Quality</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Elenco autori: </w:t>
            </w:r>
            <w:r>
              <w:rPr>
                <w:rFonts w:cs="Arial" w:ascii="Arial" w:hAnsi="Arial"/>
                <w:b/>
                <w:bCs/>
                <w:sz w:val="20"/>
              </w:rPr>
              <w:t xml:space="preserve">Paolo Fazzini, </w:t>
            </w:r>
            <w:r>
              <w:rPr>
                <w:rFonts w:eastAsia="Arial MT" w:cs="Arial" w:ascii="Arial" w:hAnsi="Arial"/>
                <w:b/>
                <w:bCs/>
                <w:color w:val="auto"/>
                <w:kern w:val="0"/>
                <w:sz w:val="20"/>
                <w:szCs w:val="22"/>
                <w:lang w:val="it-IT" w:eastAsia="en-US" w:bidi="ar-SA"/>
              </w:rPr>
              <w:t>Marco Torre</w:t>
            </w:r>
            <w:r>
              <w:rPr>
                <w:rFonts w:cs="Arial" w:ascii="Arial" w:hAnsi="Arial"/>
                <w:b/>
                <w:bCs/>
                <w:sz w:val="20"/>
              </w:rPr>
              <w:t xml:space="preserve">, </w:t>
            </w:r>
            <w:r>
              <w:rPr>
                <w:rFonts w:eastAsia="Arial MT" w:cs="Arial" w:ascii="Arial" w:hAnsi="Arial"/>
                <w:b/>
                <w:bCs/>
                <w:color w:val="auto"/>
                <w:kern w:val="0"/>
                <w:sz w:val="20"/>
                <w:szCs w:val="22"/>
                <w:lang w:val="it-IT" w:eastAsia="en-US" w:bidi="ar-SA"/>
              </w:rPr>
              <w:t>Valeria Rizza</w:t>
            </w:r>
            <w:r>
              <w:rPr>
                <w:rFonts w:cs="Arial" w:ascii="Arial" w:hAnsi="Arial"/>
                <w:b/>
                <w:bCs/>
                <w:sz w:val="20"/>
              </w:rPr>
              <w:t xml:space="preserve"> </w:t>
            </w:r>
            <w:r>
              <w:rPr>
                <w:rFonts w:eastAsia="Arial MT" w:cs="Arial" w:ascii="Arial" w:hAnsi="Arial"/>
                <w:b/>
                <w:bCs/>
                <w:sz w:val="20"/>
              </w:rPr>
              <w:t>e</w:t>
            </w:r>
            <w:r>
              <w:rPr>
                <w:rFonts w:cs="Arial" w:ascii="Arial" w:hAnsi="Arial"/>
                <w:b/>
                <w:bCs/>
                <w:sz w:val="20"/>
              </w:rPr>
              <w:t xml:space="preserve"> </w:t>
            </w:r>
            <w:r>
              <w:rPr>
                <w:rFonts w:eastAsia="Arial MT" w:cs="Arial" w:ascii="Arial" w:hAnsi="Arial"/>
                <w:b/>
                <w:bCs/>
                <w:color w:val="auto"/>
                <w:kern w:val="0"/>
                <w:sz w:val="20"/>
                <w:szCs w:val="22"/>
                <w:lang w:val="it-IT" w:eastAsia="en-US" w:bidi="ar-SA"/>
              </w:rPr>
              <w:t>Francesco Petracchini</w:t>
            </w:r>
          </w:p>
        </w:tc>
      </w:tr>
      <w:tr>
        <w:trPr>
          <w:trHeight w:val="46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Ruolo svolto (autore principale;primo autore;ultimo autore;corresponding author; primo autore alla pari, coautore): </w:t>
            </w:r>
            <w:r>
              <w:rPr>
                <w:rFonts w:cs="Arial" w:ascii="Arial" w:hAnsi="Arial"/>
                <w:b/>
                <w:bCs/>
                <w:sz w:val="20"/>
              </w:rPr>
              <w:t>autore principale e primo autore</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Rivista: </w:t>
            </w:r>
            <w:r>
              <w:rPr>
                <w:rFonts w:eastAsia="Arial MT" w:cs="Arial" w:ascii="Arial" w:hAnsi="Arial"/>
                <w:b/>
                <w:bCs/>
                <w:color w:val="auto"/>
                <w:kern w:val="0"/>
                <w:sz w:val="20"/>
                <w:szCs w:val="22"/>
                <w:lang w:val="it-IT" w:eastAsia="en-US" w:bidi="ar-SA"/>
              </w:rPr>
              <w:t>Frontiers in Sustainable Cities</w:t>
            </w:r>
            <w:r>
              <w:rPr>
                <w:rFonts w:cs="Arial" w:ascii="Arial" w:hAnsi="Arial"/>
                <w:b/>
                <w:bCs/>
                <w:sz w:val="20"/>
              </w:rPr>
              <w:t xml:space="preserve"> (</w:t>
            </w:r>
            <w:r>
              <w:rPr>
                <w:rFonts w:eastAsia="Arial MT" w:cs="Arial" w:ascii="Arial" w:hAnsi="Arial"/>
                <w:b/>
                <w:bCs/>
                <w:color w:val="auto"/>
                <w:kern w:val="0"/>
                <w:sz w:val="20"/>
                <w:szCs w:val="22"/>
                <w:lang w:val="it-IT" w:eastAsia="en-US" w:bidi="ar-SA"/>
              </w:rPr>
              <w:t>Frontiers</w:t>
            </w:r>
            <w:r>
              <w:rPr>
                <w:rFonts w:cs="Arial" w:ascii="Arial" w:hAnsi="Arial"/>
                <w:b/>
                <w:bCs/>
                <w:sz w:val="20"/>
              </w:rPr>
              <w:t>)</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Anno pubblicazione: </w:t>
            </w:r>
            <w:r>
              <w:rPr>
                <w:rFonts w:cs="Arial" w:ascii="Arial" w:hAnsi="Arial"/>
                <w:b/>
                <w:bCs/>
                <w:sz w:val="20"/>
              </w:rPr>
              <w:t>202</w:t>
            </w:r>
            <w:r>
              <w:rPr>
                <w:rFonts w:eastAsia="Arial MT" w:cs="Arial" w:ascii="Arial" w:hAnsi="Arial"/>
                <w:b/>
                <w:bCs/>
                <w:color w:val="auto"/>
                <w:kern w:val="0"/>
                <w:sz w:val="20"/>
                <w:szCs w:val="22"/>
                <w:lang w:val="it-IT" w:eastAsia="en-US" w:bidi="ar-SA"/>
              </w:rPr>
              <w:t>2</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Pagine: </w:t>
            </w:r>
            <w:r>
              <w:rPr>
                <w:rFonts w:cs="Arial" w:ascii="Arial" w:hAnsi="Arial"/>
                <w:b/>
                <w:bCs/>
                <w:sz w:val="20"/>
              </w:rPr>
              <w:t>1</w:t>
            </w:r>
            <w:r>
              <w:rPr>
                <w:rFonts w:eastAsia="Arial MT" w:cs="Arial" w:ascii="Arial" w:hAnsi="Arial"/>
                <w:b/>
                <w:bCs/>
                <w:color w:val="auto"/>
                <w:kern w:val="0"/>
                <w:sz w:val="20"/>
                <w:szCs w:val="22"/>
                <w:lang w:val="it-IT" w:eastAsia="en-US" w:bidi="ar-SA"/>
              </w:rPr>
              <w:t>0</w:t>
            </w:r>
            <w:r>
              <w:rPr>
                <w:rFonts w:cs="Arial" w:ascii="Arial" w:hAnsi="Arial"/>
                <w:sz w:val="20"/>
              </w:rPr>
              <w:t xml:space="preserve"> </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Codice identificativo (ISSN): </w:t>
            </w:r>
            <w:r>
              <w:rPr>
                <w:rFonts w:cs="Arial" w:ascii="Arial" w:hAnsi="Arial"/>
                <w:b/>
                <w:sz w:val="20"/>
                <w:lang w:val="en-US"/>
              </w:rPr>
              <w:t>2624-9634</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DOI: </w:t>
            </w:r>
            <w:r>
              <w:rPr>
                <w:rFonts w:cs="Arial" w:ascii="Arial" w:hAnsi="Arial"/>
                <w:b/>
                <w:bCs/>
                <w:sz w:val="20"/>
              </w:rPr>
              <w:t>https://doi.org/10.3389/frsc.2022.756539</w:t>
            </w:r>
          </w:p>
        </w:tc>
      </w:tr>
      <w:tr>
        <w:trPr>
          <w:trHeight w:val="253"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Lingua del prodotto: </w:t>
            </w:r>
            <w:r>
              <w:rPr>
                <w:rFonts w:cs="Arial" w:ascii="Arial" w:hAnsi="Arial"/>
                <w:b/>
                <w:bCs/>
                <w:sz w:val="20"/>
              </w:rPr>
              <w:t>inglese</w:t>
            </w:r>
          </w:p>
        </w:tc>
      </w:tr>
      <w:tr>
        <w:trPr>
          <w:trHeight w:val="251"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Abstract (MCSI 1000): </w:t>
            </w:r>
            <w:r>
              <w:rPr>
                <w:rFonts w:cs="Arial" w:ascii="Arial" w:hAnsi="Arial"/>
                <w:b/>
                <w:bCs/>
                <w:sz w:val="20"/>
              </w:rPr>
              <w:t>Adaptive traffic signal control (ATSC) in urban traffic networks poses a challenging task due to the complicated dynamics arising in traffic systems. In recent years, several approaches based on multi-agent deep reinforcement learning (MARL) have been studied experimentally. These approaches propose distributed techniques in which each signalized intersection is seen as an agent in a stochastic game whose purpose is to optimize the flow of vehicles in its vicinity. In this setting, the systems evolves toward an equilibrium among the agents that shows beneficial for the whole traffic network.</w:t>
            </w:r>
          </w:p>
          <w:p>
            <w:pPr>
              <w:pStyle w:val="TableParagraph"/>
              <w:numPr>
                <w:ilvl w:val="0"/>
                <w:numId w:val="0"/>
              </w:numPr>
              <w:spacing w:lineRule="auto" w:line="240"/>
              <w:ind w:left="100" w:hanging="0"/>
              <w:rPr>
                <w:rFonts w:ascii="Arial" w:hAnsi="Arial" w:cs="Arial"/>
                <w:sz w:val="20"/>
              </w:rPr>
            </w:pPr>
            <w:r>
              <w:rPr>
                <w:rFonts w:cs="Arial" w:ascii="Arial" w:hAnsi="Arial"/>
                <w:b/>
                <w:bCs/>
                <w:sz w:val="20"/>
              </w:rPr>
              <w:t>A recently developed multi-agent variant of the well-established advantage actor-critic (A2C) algorithm, called MA2C (multi-agent A2C) exploits the promising idea of some communication among the agents. In this view, the agents share their strategies with other neighbor agents, thereby stabilizing the learning process even when the agents grow in number and variety. We experimented MA2C in two traffic networks located in Bologna (Italy) and found that its action translates into a significant decrease of the amount of pollutants released into the environment.</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Parole chiave (max 5): </w:t>
            </w:r>
            <w:r>
              <w:rPr>
                <w:rFonts w:cs="Arial" w:ascii="Arial" w:hAnsi="Arial"/>
                <w:b/>
                <w:bCs/>
                <w:sz w:val="20"/>
              </w:rPr>
              <w:t xml:space="preserve">multi-agent systems, reinforcement learning, vehicle flow optimization, traffic emissions, machine </w:t>
            </w:r>
            <w:r>
              <w:rPr>
                <w:rFonts w:cs="Arial" w:ascii="Arial" w:hAnsi="Arial"/>
                <w:b/>
                <w:bCs/>
                <w:sz w:val="20"/>
              </w:rPr>
              <w:t>learning</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Descrittori ERC (terzo livello, max 3): </w:t>
            </w:r>
            <w:r>
              <w:rPr>
                <w:rFonts w:cs="Arial" w:ascii="Arial" w:hAnsi="Arial"/>
                <w:b/>
                <w:bCs/>
                <w:sz w:val="20"/>
                <w:lang w:val="it-IT"/>
              </w:rPr>
              <w:t>PE6_11 Machine learning, statistical data processing and applications using signal processing</w:t>
            </w:r>
          </w:p>
        </w:tc>
      </w:tr>
      <w:tr>
        <w:trPr>
          <w:trHeight w:val="263"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Impatto descritto in forma narrativa, supportato da indicatori se ritenuto rilevante (MCSI 1000): </w:t>
            </w:r>
            <w:r>
              <w:rPr>
                <w:rFonts w:cs="Arial" w:ascii="Arial" w:hAnsi="Arial"/>
                <w:b/>
                <w:bCs/>
                <w:sz w:val="20"/>
              </w:rPr>
              <w:t xml:space="preserve">La ricerca </w:t>
            </w:r>
            <w:r>
              <w:rPr>
                <w:rFonts w:eastAsia="Arial MT" w:cs="Arial" w:ascii="Arial" w:hAnsi="Arial"/>
                <w:b/>
                <w:bCs/>
                <w:sz w:val="20"/>
              </w:rPr>
              <w:t>presenta un nuovo algoritmo,</w:t>
            </w:r>
            <w:r>
              <w:rPr>
                <w:rFonts w:cs="Arial" w:ascii="Arial" w:hAnsi="Arial"/>
                <w:b/>
                <w:bCs/>
                <w:sz w:val="20"/>
              </w:rPr>
              <w:t xml:space="preserve"> VMDMS-LSTM, pensato per previsioni accurate nel medio termine. L’algoritmo è stato applicato al consumo elettrico navale, </w:t>
            </w:r>
            <w:r>
              <w:rPr>
                <w:rFonts w:eastAsia="Arial MT" w:cs="Arial" w:ascii="Arial" w:hAnsi="Arial"/>
                <w:b/>
                <w:bCs/>
                <w:sz w:val="20"/>
              </w:rPr>
              <w:t>al fine di mostrare le sue potenzialità nel campo</w:t>
            </w:r>
            <w:r>
              <w:rPr>
                <w:rFonts w:cs="Arial" w:ascii="Arial" w:hAnsi="Arial"/>
                <w:b/>
                <w:bCs/>
                <w:sz w:val="20"/>
              </w:rPr>
              <w:t xml:space="preserve"> sella decarbonizzazione del settore marittimo (3% emissioni globali). L'approccio ibrido supera limitazioni esistenti con performance NRMSE 1.59-4.86%, NMAE 1.47-3.70%, sMAPE 1.15-3.58% su orizzonti 2-8h (6-24h prima di un retraining). </w:t>
            </w:r>
            <w:r>
              <w:rPr>
                <w:rFonts w:eastAsia="Arial MT" w:cs="Arial" w:ascii="Arial" w:hAnsi="Arial"/>
                <w:b/>
                <w:bCs/>
                <w:color w:val="auto"/>
                <w:kern w:val="0"/>
                <w:sz w:val="20"/>
                <w:szCs w:val="22"/>
                <w:lang w:val="it-IT" w:eastAsia="en-US" w:bidi="ar-SA"/>
              </w:rPr>
              <w:t>Istruito</w:t>
            </w:r>
            <w:r>
              <w:rPr>
                <w:rFonts w:cs="Arial" w:ascii="Arial" w:hAnsi="Arial"/>
                <w:b/>
                <w:bCs/>
                <w:sz w:val="20"/>
              </w:rPr>
              <w:t xml:space="preserve"> su 122 giorni operativi reali, abilita sistemi energetici più efficienti con potenziale riduzione intensità carbonica fino 10%. Data l’impostazione dell’algoritmo che si basa su principi generali, la metodologia innovativa risulta trasferibile ad altri domini ad alta volatilità. Il codice sorgente rilasciato in open-source amplifica l’impatto scientifico del lavoro.</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A chi è rivolto (audience) (MCSI 250): </w:t>
            </w:r>
            <w:r>
              <w:rPr>
                <w:rFonts w:eastAsia="Arial MT" w:cs="Arial" w:ascii="Arial" w:hAnsi="Arial"/>
                <w:b/>
                <w:bCs/>
                <w:sz w:val="20"/>
              </w:rPr>
              <w:t>vista</w:t>
            </w:r>
            <w:r>
              <w:rPr>
                <w:rFonts w:cs="Arial" w:ascii="Arial" w:hAnsi="Arial"/>
                <w:b/>
                <w:bCs/>
                <w:sz w:val="20"/>
              </w:rPr>
              <w:t xml:space="preserve"> la natura generale dell’algoritmo il lavoro può essere utile a qualunque ente (Ricercatori, industria) che ha bisogno di forecasting nel medio termine. Inoltre, dat</w:t>
            </w:r>
            <w:r>
              <w:rPr>
                <w:rFonts w:eastAsia="Arial MT" w:cs="Arial" w:ascii="Arial" w:hAnsi="Arial"/>
                <w:b/>
                <w:bCs/>
                <w:sz w:val="20"/>
              </w:rPr>
              <w:t>o</w:t>
            </w:r>
            <w:r>
              <w:rPr>
                <w:rFonts w:cs="Arial" w:ascii="Arial" w:hAnsi="Arial"/>
                <w:b/>
                <w:bCs/>
                <w:sz w:val="20"/>
              </w:rPr>
              <w:t xml:space="preserve"> il campo di applicazione  navale, il lavoro può essere utile specificatamente a Energy managers, fornitori tech marine, compagnie navigazione, organizzazioni internazionali, software marittimo, utility portuali, gestori microgrid, accademie navali</w:t>
            </w:r>
          </w:p>
        </w:tc>
      </w:tr>
      <w:tr>
        <w:trPr>
          <w:trHeight w:val="28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Indicare se il prodotto ha superato un processo di revisione tra pari: </w:t>
            </w:r>
            <w:r>
              <w:rPr>
                <w:rFonts w:cs="Arial" w:ascii="Arial" w:hAnsi="Arial"/>
                <w:b/>
                <w:bCs/>
                <w:sz w:val="20"/>
              </w:rPr>
              <w:t>Si</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Link a dati associati (DOI o URL, se disponibile): </w:t>
            </w:r>
            <w:r>
              <w:rPr>
                <w:rFonts w:cs="Arial" w:ascii="Arial" w:hAnsi="Arial"/>
                <w:b/>
                <w:bCs/>
                <w:sz w:val="20"/>
                <w:u w:val="none"/>
              </w:rPr>
              <w:t>https://github.com/pfaz69/VMDMS (codice algoritmo)</w:t>
            </w:r>
          </w:p>
        </w:tc>
      </w:tr>
      <w:tr>
        <w:trPr>
          <w:trHeight w:val="2529"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jc w:val="both"/>
              <w:rPr>
                <w:rFonts w:ascii="Arial" w:hAnsi="Arial" w:cs="Arial"/>
                <w:sz w:val="20"/>
              </w:rPr>
            </w:pPr>
            <w:r>
              <w:rPr>
                <w:rFonts w:cs="Arial" w:ascii="Arial" w:hAnsi="Arial"/>
                <w:sz w:val="20"/>
              </w:rPr>
              <w:t xml:space="preserve">Tipo di accessibilità (selezionare le opzioni rilevanti): </w:t>
            </w:r>
            <w:r>
              <w:rPr>
                <w:rFonts w:cs="Arial" w:ascii="Arial" w:hAnsi="Arial"/>
                <w:b/>
                <w:bCs/>
                <w:sz w:val="20"/>
                <w:lang w:val="it-IT"/>
              </w:rPr>
              <w:t xml:space="preserve">Riviste Open Access: </w:t>
            </w:r>
            <w:r>
              <w:rPr>
                <w:rFonts w:cs="Arial" w:ascii="Arial" w:hAnsi="Arial"/>
                <w:b/>
                <w:bCs/>
                <w:sz w:val="20"/>
              </w:rPr>
              <w:t>il prodotto è liberamente e gratuitamente accessibile su piattaforma della casa editrice o della rivista (DOI: https://doi.org/10.1038/s41598-025-06153-z).</w:t>
            </w:r>
          </w:p>
          <w:p>
            <w:pPr>
              <w:pStyle w:val="TableParagraph"/>
              <w:numPr>
                <w:ilvl w:val="0"/>
                <w:numId w:val="0"/>
              </w:numPr>
              <w:spacing w:lineRule="auto" w:line="240"/>
              <w:ind w:left="100" w:hanging="0"/>
              <w:jc w:val="both"/>
              <w:rPr>
                <w:b/>
                <w:b/>
                <w:bCs/>
              </w:rPr>
            </w:pPr>
            <w:r>
              <w:rPr>
                <w:b/>
                <w:bCs/>
              </w:rPr>
            </w:r>
          </w:p>
        </w:tc>
      </w:tr>
      <w:tr>
        <w:trPr>
          <w:trHeight w:val="52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spacing w:lineRule="auto" w:line="240"/>
              <w:ind w:left="0" w:hanging="0"/>
              <w:rPr>
                <w:rFonts w:ascii="Arial" w:hAnsi="Arial" w:cs="Arial"/>
                <w:sz w:val="20"/>
              </w:rPr>
            </w:pPr>
            <w:r>
              <w:rPr>
                <w:rFonts w:cs="Arial" w:ascii="Arial" w:hAnsi="Arial"/>
                <w:sz w:val="20"/>
              </w:rPr>
              <w:t xml:space="preserve">Specificare se il prodotto si riferisce ad aree emergenti, di forte specializzazione o marcatamente interdisciplinari: (MCSI 500): </w:t>
            </w:r>
            <w:r>
              <w:rPr>
                <w:rFonts w:cs="Arial" w:ascii="Arial" w:hAnsi="Arial"/>
                <w:b/>
                <w:bCs/>
                <w:sz w:val="20"/>
              </w:rPr>
              <w:t>Il prodotto si colloca in aree marcatamente interdisciplinari, integrando: - Ingegneria navale e sistemi energetici marittimi - Machine Learning e Deep Learning (LSTM) - Signal processing avanzato (VMD) - Analisi di serie temporali multivariata - Sostenibilità ambientale e decarbonizzazione - IoT e sistemi cyber-fisici navali Rappresenta convergenza tra AI, ingegneria marina, analisi dati e green technology, tipica delle sfide tecnologiche moderne che richiedono approcci multidisciplinari.</w:t>
            </w:r>
          </w:p>
        </w:tc>
      </w:tr>
      <w:tr>
        <w:trPr>
          <w:trHeight w:val="46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Altre informazioni: (MCSI 500)</w:t>
            </w:r>
          </w:p>
        </w:tc>
      </w:tr>
    </w:tbl>
    <w:p>
      <w:pPr>
        <w:pStyle w:val="Normal"/>
        <w:numPr>
          <w:ilvl w:val="0"/>
          <w:numId w:val="0"/>
        </w:numPr>
        <w:ind w:left="100" w:hanging="0"/>
        <w:rPr>
          <w:rFonts w:ascii="Arial" w:hAnsi="Arial" w:cs="Arial"/>
          <w:sz w:val="24"/>
          <w:szCs w:val="24"/>
        </w:rPr>
      </w:pPr>
      <w:r>
        <w:rPr>
          <w:rFonts w:cs="Arial" w:ascii="Arial" w:hAnsi="Arial"/>
          <w:sz w:val="24"/>
          <w:szCs w:val="24"/>
        </w:rPr>
      </w:r>
    </w:p>
    <w:p>
      <w:pPr>
        <w:pStyle w:val="Normal"/>
        <w:ind w:left="0" w:hanging="0"/>
        <w:rPr>
          <w:rFonts w:ascii="Arial" w:hAnsi="Arial" w:cs="Arial"/>
          <w:sz w:val="24"/>
          <w:szCs w:val="24"/>
        </w:rPr>
      </w:pPr>
      <w:r>
        <w:rPr>
          <w:rFonts w:cs="Arial" w:ascii="Arial" w:hAnsi="Arial"/>
          <w:sz w:val="24"/>
          <w:szCs w:val="24"/>
        </w:rPr>
      </w:r>
    </w:p>
    <w:p>
      <w:pPr>
        <w:pStyle w:val="Normal"/>
        <w:ind w:left="0" w:hanging="0"/>
        <w:rPr>
          <w:rFonts w:ascii="Arial" w:hAnsi="Arial" w:cs="Arial"/>
          <w:sz w:val="24"/>
          <w:szCs w:val="24"/>
        </w:rPr>
      </w:pPr>
      <w:r>
        <w:rPr>
          <w:rFonts w:cs="Arial" w:ascii="Arial" w:hAnsi="Arial"/>
          <w:sz w:val="24"/>
          <w:szCs w:val="24"/>
        </w:rPr>
      </w:r>
    </w:p>
    <w:p>
      <w:pPr>
        <w:pStyle w:val="Normal"/>
        <w:ind w:left="0" w:hanging="0"/>
        <w:rPr>
          <w:rFonts w:ascii="Arial" w:hAnsi="Arial" w:cs="Arial"/>
          <w:sz w:val="24"/>
          <w:szCs w:val="24"/>
        </w:rPr>
      </w:pPr>
      <w:r>
        <w:rPr>
          <w:rFonts w:cs="Arial" w:ascii="Arial" w:hAnsi="Arial"/>
          <w:sz w:val="24"/>
          <w:szCs w:val="24"/>
        </w:rPr>
      </w:r>
    </w:p>
    <w:tbl>
      <w:tblPr>
        <w:tblStyle w:val="TableNormal"/>
        <w:tblW w:w="9780" w:type="dxa"/>
        <w:jc w:val="left"/>
        <w:tblInd w:w="218" w:type="dxa"/>
        <w:tblCellMar>
          <w:top w:w="0" w:type="dxa"/>
          <w:left w:w="108" w:type="dxa"/>
          <w:bottom w:w="0" w:type="dxa"/>
          <w:right w:w="108" w:type="dxa"/>
        </w:tblCellMar>
        <w:tblLook w:val="01e0" w:noHBand="0" w:noVBand="0" w:firstColumn="1" w:lastRow="1" w:lastColumn="1" w:firstRow="1"/>
      </w:tblPr>
      <w:tblGrid>
        <w:gridCol w:w="9780"/>
      </w:tblGrid>
      <w:tr>
        <w:trPr>
          <w:trHeight w:val="239"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b/>
                <w:b/>
                <w:sz w:val="20"/>
              </w:rPr>
            </w:pPr>
            <w:r>
              <w:rPr>
                <w:rFonts w:cs="Arial" w:ascii="Arial" w:hAnsi="Arial"/>
                <w:b/>
                <w:sz w:val="20"/>
              </w:rPr>
              <w:t>Nr 3</w:t>
            </w:r>
          </w:p>
        </w:tc>
      </w:tr>
      <w:tr>
        <w:trPr>
          <w:trHeight w:val="22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Tipologia prodotto: </w:t>
            </w:r>
            <w:r>
              <w:rPr>
                <w:rFonts w:cs="Arial" w:ascii="Arial" w:hAnsi="Arial"/>
                <w:b/>
                <w:bCs/>
                <w:sz w:val="20"/>
              </w:rPr>
              <w:t>articolo in rivista</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Titolo: </w:t>
            </w:r>
            <w:r>
              <w:rPr>
                <w:rFonts w:cs="Arial" w:ascii="Arial" w:hAnsi="Arial"/>
                <w:b/>
                <w:bCs/>
                <w:sz w:val="20"/>
              </w:rPr>
              <w:t>NCD-Pred: Forecasting Multichannel Shipboard Electrical Power Demand Using Neighborhood-Constrained VMD</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Elenco autori: </w:t>
            </w:r>
            <w:r>
              <w:rPr>
                <w:rFonts w:cs="Arial" w:ascii="Arial" w:hAnsi="Arial"/>
                <w:b/>
                <w:bCs/>
                <w:sz w:val="20"/>
              </w:rPr>
              <w:t xml:space="preserve">Paolo Fazzini, Giuseppe La Tona, Marco Montuori, Matteo Diez </w:t>
            </w:r>
            <w:r>
              <w:rPr>
                <w:rFonts w:eastAsia="Arial MT" w:cs="Arial" w:ascii="Arial" w:hAnsi="Arial"/>
                <w:b/>
                <w:bCs/>
                <w:sz w:val="20"/>
              </w:rPr>
              <w:t>e</w:t>
            </w:r>
            <w:r>
              <w:rPr>
                <w:rFonts w:cs="Arial" w:ascii="Arial" w:hAnsi="Arial"/>
                <w:b/>
                <w:bCs/>
                <w:sz w:val="20"/>
              </w:rPr>
              <w:t xml:space="preserve"> Maria Carmela Di Piazza</w:t>
            </w:r>
          </w:p>
        </w:tc>
      </w:tr>
      <w:tr>
        <w:trPr>
          <w:trHeight w:val="46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Ruolo svolto (autore principale;primo autore;ultimo autore;corresponding author; primo autore alla pari, coautore): </w:t>
            </w:r>
            <w:r>
              <w:rPr>
                <w:rFonts w:cs="Arial" w:ascii="Arial" w:hAnsi="Arial"/>
                <w:b/>
                <w:bCs/>
                <w:sz w:val="20"/>
              </w:rPr>
              <w:t>autore principale e primo autore</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Rivista: </w:t>
            </w:r>
            <w:r>
              <w:rPr>
                <w:rFonts w:cs="Arial" w:ascii="Arial" w:hAnsi="Arial"/>
                <w:b/>
                <w:bCs/>
                <w:sz w:val="20"/>
              </w:rPr>
              <w:t>Forecasting (MDPI)</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Anno pubblicazione: </w:t>
            </w:r>
            <w:r>
              <w:rPr>
                <w:rFonts w:cs="Arial" w:ascii="Arial" w:hAnsi="Arial"/>
                <w:b/>
                <w:bCs/>
                <w:sz w:val="20"/>
              </w:rPr>
              <w:t>2025</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Pagine: </w:t>
            </w:r>
            <w:r>
              <w:rPr>
                <w:rFonts w:cs="Arial" w:ascii="Arial" w:hAnsi="Arial"/>
                <w:b/>
                <w:bCs/>
                <w:sz w:val="20"/>
              </w:rPr>
              <w:t>19</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Codice identificativo (ISSN): </w:t>
            </w:r>
            <w:r>
              <w:rPr>
                <w:rStyle w:val="Emphasis"/>
                <w:rFonts w:cs="Arial" w:ascii="Arial" w:hAnsi="Arial"/>
                <w:b/>
                <w:bCs/>
                <w:i w:val="false"/>
                <w:iCs w:val="false"/>
                <w:sz w:val="20"/>
              </w:rPr>
              <w:t>2571-9394</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DOI: </w:t>
            </w:r>
            <w:r>
              <w:rPr>
                <w:rFonts w:cs="Arial" w:ascii="Arial" w:hAnsi="Arial"/>
                <w:b/>
                <w:bCs/>
                <w:sz w:val="20"/>
              </w:rPr>
              <w:t>https://doi.org/10.3390/forecast7030044</w:t>
            </w:r>
          </w:p>
        </w:tc>
      </w:tr>
      <w:tr>
        <w:trPr>
          <w:trHeight w:val="253"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Lingua del prodotto: </w:t>
            </w:r>
            <w:r>
              <w:rPr>
                <w:rFonts w:cs="Arial" w:ascii="Arial" w:hAnsi="Arial"/>
                <w:b/>
                <w:bCs/>
                <w:sz w:val="20"/>
              </w:rPr>
              <w:t>inglese</w:t>
            </w:r>
          </w:p>
        </w:tc>
      </w:tr>
      <w:tr>
        <w:trPr>
          <w:trHeight w:val="251"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Abstract (MCSI 1000): </w:t>
            </w:r>
            <w:r>
              <w:rPr>
                <w:rFonts w:cs="Arial" w:ascii="Arial" w:hAnsi="Arial"/>
                <w:b/>
                <w:bCs/>
                <w:sz w:val="20"/>
              </w:rPr>
              <w:t>This paper introduces Neighborhood-Constrained Decomposition-based Prediction (NCD-Pred), the first system to leverage Neighborhood-Constrained Variational Mode Decom-position (NCVMD) for multichannel forecasting by integrating time series decompositionand neural networks. NCD-Pred leverages NCVMD to decompose a multichannel signalinto simpler, band-limited components—referred to asintrinsic mode functionsor simplymodes—by prioritizing the most informative channel (themainchannel) over less informa-tive ones (theauxiliarychannels) and bringing their central frequencies into alignment upto a tunable extent. This frequency synchronization provides a framework for cooperativemode forecasting, where predictions of signal components are recombined to produce theoriginal signal prediction. For mode-level forecasting, Long Short-Term Memory (LSTM)networks are utilized. NCD-Pred’s performance is evaluated against similarly designedmode-level forecasting systems using a multichannel dataset with weak cross-correlation,representing power load on a large vessel. The results show that NCD-Pred outperformsbenchmark methods, demonstrating its practical utility in real signal processing scenarios.</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b/>
                <w:b/>
                <w:bCs/>
              </w:rPr>
            </w:pPr>
            <w:r>
              <w:rPr>
                <w:rFonts w:cs="Arial" w:ascii="Arial" w:hAnsi="Arial"/>
                <w:b/>
                <w:bCs/>
                <w:sz w:val="20"/>
              </w:rPr>
              <w:t>Parole chiave (max 5): energy management; shipboard electrical power consumption; forecasting;machine learning; multi-channel (multivariate) forecasting; Variational Mode Decomposition</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Descrittori ERC (terzo livello, max 3): </w:t>
            </w:r>
            <w:r>
              <w:rPr>
                <w:rFonts w:cs="Arial" w:ascii="Arial" w:hAnsi="Arial"/>
                <w:b/>
                <w:bCs/>
                <w:sz w:val="20"/>
                <w:lang w:val="it-IT"/>
              </w:rPr>
              <w:t>PE6_11 Machine learning, statistical data processing and applications using signal processing</w:t>
            </w:r>
          </w:p>
        </w:tc>
      </w:tr>
      <w:tr>
        <w:trPr>
          <w:trHeight w:val="263"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Impatto descritto in forma narrativa, supportato da indicatori se ritenuto rilevante (MCSI 1000): </w:t>
            </w:r>
            <w:r>
              <w:rPr>
                <w:rFonts w:cs="Arial" w:ascii="Arial" w:hAnsi="Arial"/>
                <w:b/>
                <w:bCs/>
                <w:sz w:val="20"/>
              </w:rPr>
              <w:t xml:space="preserve">L'articolo presenta NCD-Pred, un sistema innovativo per la previsione del consumo elettrico navale che combina la decomposizione NCVMD con reti neurali LSTM. Testato su dati reali di una grande nave passeggeri per 4 mesi, il metodo mostra miglioramenti significativi rispetto ai benchmark tradizionali (VMD, MVMD, VMDMS) nel 50% dei casi testati. L'impatto </w:t>
            </w:r>
            <w:r>
              <w:rPr>
                <w:rFonts w:eastAsia="Arial MT" w:cs="Arial" w:ascii="Arial" w:hAnsi="Arial"/>
                <w:b/>
                <w:bCs/>
                <w:color w:val="auto"/>
                <w:kern w:val="0"/>
                <w:sz w:val="20"/>
                <w:szCs w:val="22"/>
                <w:lang w:val="it-IT" w:eastAsia="en-US" w:bidi="ar-SA"/>
              </w:rPr>
              <w:t>dell’algoritmo</w:t>
            </w:r>
            <w:r>
              <w:rPr>
                <w:rFonts w:cs="Arial" w:ascii="Arial" w:hAnsi="Arial"/>
                <w:b/>
                <w:bCs/>
                <w:sz w:val="20"/>
              </w:rPr>
              <w:t xml:space="preserve"> è stato registrato nel settore marittimo, dove il trasporto navale rappresenta il 3% delle emissioni globali di gas serra. Con la crescita del 40% del commercio marittimo prevista nei prossimi 30 anni e gli obiettivi IMO di zero emissioni entro il 2050, sistemi di gestione energetica accurati possono ridurre l'intensità carbonica delle navi fino al 10%. Il sistema è computazionalmente efficiente (8.3 min di training per serie temporale) e compatibile con il retraining giornaliero richiesto per orizzonti di 24h, rendendolo applicabile operativamente sui sistemi di gestione energetica navali reali. La generalità dei principi alla base dell’algoritmo ne permette l’utilizzo anche in campi applicativi </w:t>
            </w:r>
            <w:r>
              <w:rPr>
                <w:rFonts w:eastAsia="Arial MT" w:cs="Arial" w:ascii="Arial" w:hAnsi="Arial"/>
                <w:b/>
                <w:bCs/>
                <w:color w:val="auto"/>
                <w:kern w:val="0"/>
                <w:sz w:val="20"/>
                <w:szCs w:val="22"/>
                <w:lang w:val="it-IT" w:eastAsia="en-US" w:bidi="ar-SA"/>
              </w:rPr>
              <w:t>differenti</w:t>
            </w:r>
            <w:r>
              <w:rPr>
                <w:rFonts w:cs="Arial" w:ascii="Arial" w:hAnsi="Arial"/>
                <w:b/>
                <w:bCs/>
                <w:sz w:val="20"/>
              </w:rPr>
              <w:t xml:space="preserve"> da quello utilizzato nel presente studio.</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A chi è rivolto (audience) (MCSI 250): </w:t>
            </w:r>
            <w:r>
              <w:rPr>
                <w:rStyle w:val="StrongEmphasis"/>
                <w:rFonts w:cs="Arial" w:ascii="Arial" w:hAnsi="Arial"/>
                <w:sz w:val="20"/>
              </w:rPr>
              <w:t>Grazie alla natura generale dell’algoritmo, il lavoro risulta potenzialmente utile per qualsiasi ente — sia in ambito accademico che industriale — che necessiti di strumenti di previsione nel medio termine.</w:t>
            </w:r>
            <w:r>
              <w:rPr>
                <w:rFonts w:cs="Arial" w:ascii="Arial" w:hAnsi="Arial"/>
                <w:b/>
                <w:bCs/>
                <w:sz w:val="20"/>
              </w:rPr>
              <w:t xml:space="preserve"> Inoltre, considerando il contesto applicativo navale, il contributo può rivelarsi particolarmente rilevante per energy manager, fornitori di tecnologie marine, compagnie di navigazione, organizzazioni internazionali, sviluppatori di software marittimo, utility portuali, gestori di microgrid e accademie navali.</w:t>
            </w:r>
          </w:p>
        </w:tc>
      </w:tr>
      <w:tr>
        <w:trPr>
          <w:trHeight w:val="28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Indicare se il prodotto ha superato un processo di revisione tra pari: </w:t>
            </w:r>
            <w:r>
              <w:rPr>
                <w:rFonts w:cs="Arial" w:ascii="Arial" w:hAnsi="Arial"/>
                <w:b/>
                <w:bCs/>
                <w:sz w:val="20"/>
              </w:rPr>
              <w:t>Sì</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Link a dati associati (DOI o URL, se disponibile)</w:t>
            </w:r>
          </w:p>
        </w:tc>
      </w:tr>
      <w:tr>
        <w:trPr>
          <w:trHeight w:val="2529"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jc w:val="both"/>
              <w:rPr>
                <w:rFonts w:ascii="Arial" w:hAnsi="Arial" w:cs="Arial"/>
                <w:sz w:val="20"/>
              </w:rPr>
            </w:pPr>
            <w:r>
              <w:rPr>
                <w:rFonts w:cs="Arial" w:ascii="Arial" w:hAnsi="Arial"/>
                <w:sz w:val="20"/>
              </w:rPr>
              <w:t xml:space="preserve">Tipo di accessibilità (selezionare le opzioni rilevanti): </w:t>
            </w:r>
            <w:r>
              <w:rPr>
                <w:rFonts w:cs="Arial" w:ascii="Arial" w:hAnsi="Arial"/>
                <w:b/>
                <w:bCs/>
                <w:sz w:val="20"/>
              </w:rPr>
              <w:t>Riviste Open Access: il prodotto è liberamente e gratuitamente accessibile su piattaforma della casa editrice o della rivista (DOI: https://doi.org/10.3390/forecast7030044).</w:t>
            </w:r>
          </w:p>
          <w:p>
            <w:pPr>
              <w:pStyle w:val="TableParagraph"/>
              <w:numPr>
                <w:ilvl w:val="0"/>
                <w:numId w:val="0"/>
              </w:numPr>
              <w:spacing w:lineRule="auto" w:line="240"/>
              <w:ind w:left="839" w:hanging="0"/>
              <w:jc w:val="both"/>
              <w:rPr>
                <w:rFonts w:ascii="Arial" w:hAnsi="Arial" w:cs="Arial"/>
                <w:sz w:val="20"/>
              </w:rPr>
            </w:pPr>
            <w:r>
              <w:rPr>
                <w:rFonts w:cs="Arial" w:ascii="Arial" w:hAnsi="Arial"/>
                <w:sz w:val="20"/>
              </w:rPr>
            </w:r>
          </w:p>
        </w:tc>
      </w:tr>
      <w:tr>
        <w:trPr>
          <w:trHeight w:val="46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Specificare se il prodotto si riferisce ad aree emergenti, di forte specializzazione o marcatamente interdisciplinari: (MCSI 500): I</w:t>
            </w:r>
            <w:r>
              <w:rPr>
                <w:rFonts w:cs="Arial" w:ascii="Arial" w:hAnsi="Arial"/>
                <w:b/>
                <w:bCs/>
                <w:sz w:val="20"/>
              </w:rPr>
              <w:t>l prodotto si colloca in un'area marcatamente interdisciplinare che integra:</w:t>
            </w:r>
          </w:p>
          <w:p>
            <w:pPr>
              <w:pStyle w:val="TableParagraph"/>
              <w:spacing w:lineRule="auto" w:line="240"/>
              <w:ind w:left="0" w:hanging="0"/>
              <w:rPr>
                <w:b/>
                <w:b/>
                <w:bCs/>
              </w:rPr>
            </w:pPr>
            <w:r>
              <w:rPr>
                <w:rFonts w:cs="Arial" w:ascii="Arial" w:hAnsi="Arial"/>
                <w:b/>
                <w:bCs/>
                <w:sz w:val="20"/>
              </w:rPr>
              <w:t>- Machine learning e deep learning (reti LSTM)</w:t>
            </w:r>
          </w:p>
          <w:p>
            <w:pPr>
              <w:pStyle w:val="TableParagraph"/>
              <w:spacing w:lineRule="auto" w:line="240"/>
              <w:ind w:left="0" w:hanging="0"/>
              <w:rPr>
                <w:b/>
                <w:b/>
                <w:bCs/>
              </w:rPr>
            </w:pPr>
            <w:r>
              <w:rPr>
                <w:rFonts w:cs="Arial" w:ascii="Arial" w:hAnsi="Arial"/>
                <w:b/>
                <w:bCs/>
                <w:sz w:val="20"/>
              </w:rPr>
              <w:t>- Elaborazione avanzata dei segnali (decomposizione VMD/NCVMD)</w:t>
            </w:r>
          </w:p>
          <w:p>
            <w:pPr>
              <w:pStyle w:val="TableParagraph"/>
              <w:spacing w:lineRule="auto" w:line="240"/>
              <w:ind w:left="0" w:hanging="0"/>
              <w:rPr>
                <w:b/>
                <w:b/>
                <w:bCs/>
              </w:rPr>
            </w:pPr>
            <w:r>
              <w:rPr>
                <w:rFonts w:cs="Arial" w:ascii="Arial" w:hAnsi="Arial"/>
                <w:b/>
                <w:bCs/>
                <w:sz w:val="20"/>
              </w:rPr>
              <w:t>- Ingegneria navale e sistemi elettrici marittimi</w:t>
            </w:r>
          </w:p>
          <w:p>
            <w:pPr>
              <w:pStyle w:val="TableParagraph"/>
              <w:spacing w:lineRule="auto" w:line="240"/>
              <w:ind w:left="0" w:hanging="0"/>
              <w:rPr>
                <w:b/>
                <w:b/>
                <w:bCs/>
              </w:rPr>
            </w:pPr>
            <w:r>
              <w:rPr>
                <w:rFonts w:cs="Arial" w:ascii="Arial" w:hAnsi="Arial"/>
                <w:b/>
                <w:bCs/>
                <w:sz w:val="20"/>
              </w:rPr>
              <w:t>- Gestione energetica e sostenibilità ambientale</w:t>
            </w:r>
          </w:p>
          <w:p>
            <w:pPr>
              <w:pStyle w:val="TableParagraph"/>
              <w:spacing w:lineRule="auto" w:line="240"/>
              <w:ind w:left="0" w:hanging="0"/>
              <w:rPr>
                <w:b/>
                <w:b/>
                <w:bCs/>
              </w:rPr>
            </w:pPr>
            <w:r>
              <w:rPr>
                <w:b/>
                <w:bCs/>
              </w:rPr>
            </w:r>
          </w:p>
          <w:p>
            <w:pPr>
              <w:pStyle w:val="TableParagraph"/>
              <w:spacing w:lineRule="auto" w:line="240"/>
              <w:ind w:left="0" w:hanging="0"/>
              <w:rPr>
                <w:b/>
                <w:b/>
                <w:bCs/>
              </w:rPr>
            </w:pPr>
            <w:r>
              <w:rPr>
                <w:rFonts w:cs="Arial" w:ascii="Arial" w:hAnsi="Arial"/>
                <w:b/>
                <w:bCs/>
                <w:sz w:val="20"/>
              </w:rPr>
              <w:t>Rappresenta inoltre un'area emergente legata alla decarbonizzazione del trasporto marittimo, settore in rapida evoluzione verso tecnologie smart per l'efficienza energetica, in linea con le normative IMO 2050.</w:t>
            </w:r>
          </w:p>
        </w:tc>
      </w:tr>
      <w:tr>
        <w:trPr>
          <w:trHeight w:val="46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Altre informazioni: (MCSI 500)</w:t>
            </w:r>
          </w:p>
        </w:tc>
      </w:tr>
    </w:tbl>
    <w:p>
      <w:pPr>
        <w:pStyle w:val="Normal"/>
        <w:rPr/>
      </w:pPr>
      <w:r>
        <w:rPr/>
      </w:r>
    </w:p>
    <w:sectPr>
      <w:footerReference w:type="default" r:id="rId4"/>
      <w:type w:val="nextPage"/>
      <w:pgSz w:w="11906" w:h="16838"/>
      <w:pgMar w:left="1021" w:right="1021" w:header="0" w:top="1134" w:footer="567" w:bottom="1134"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4"/>
      <w:rPr>
        <w:b w:val="false"/>
        <w:b w:val="false"/>
        <w:lang w:val="it-IT"/>
      </w:rPr>
    </w:pPr>
    <w:r>
      <w:rPr>
        <w:b w:val="false"/>
        <w:lang w:val="it-IT"/>
      </w:rPr>
      <mc:AlternateContent>
        <mc:Choice Requires="wps">
          <w:drawing>
            <wp:anchor behindDoc="1" distT="0" distB="0" distL="0" distR="0" simplePos="0" locked="0" layoutInCell="1" allowOverlap="1" relativeHeight="6" wp14:anchorId="779723DC">
              <wp:simplePos x="0" y="0"/>
              <wp:positionH relativeFrom="page">
                <wp:posOffset>6455410</wp:posOffset>
              </wp:positionH>
              <wp:positionV relativeFrom="page">
                <wp:posOffset>10039350</wp:posOffset>
              </wp:positionV>
              <wp:extent cx="228600" cy="184785"/>
              <wp:effectExtent l="0" t="0" r="0" b="0"/>
              <wp:wrapNone/>
              <wp:docPr id="3" name="Text Box 1"/>
              <a:graphic xmlns:a="http://schemas.openxmlformats.org/drawingml/2006/main">
                <a:graphicData uri="http://schemas.microsoft.com/office/word/2010/wordprocessingShape">
                  <wps:wsp>
                    <wps:cNvSpPr/>
                    <wps:spPr>
                      <a:xfrm>
                        <a:off x="0" y="0"/>
                        <a:ext cx="227880" cy="184320"/>
                      </a:xfrm>
                      <a:prstGeom prst="rect">
                        <a:avLst/>
                      </a:prstGeom>
                      <a:noFill/>
                      <a:ln>
                        <a:noFill/>
                      </a:ln>
                    </wps:spPr>
                    <wps:style>
                      <a:lnRef idx="0"/>
                      <a:fillRef idx="0"/>
                      <a:effectRef idx="0"/>
                      <a:fontRef idx="minor"/>
                    </wps:style>
                    <wps:txbx>
                      <w:txbxContent>
                        <w:p>
                          <w:pPr>
                            <w:pStyle w:val="FrameContents"/>
                            <w:spacing w:before="13" w:after="0"/>
                            <w:ind w:left="60" w:hanging="0"/>
                            <w:rPr>
                              <w:lang w:val="it-IT"/>
                            </w:rPr>
                          </w:pPr>
                          <w:r>
                            <w:rPr>
                              <w:color w:val="000000"/>
                              <w:lang w:val="it-IT"/>
                            </w:rPr>
                            <w:fldChar w:fldCharType="begin"/>
                          </w:r>
                          <w:r>
                            <w:rPr>
                              <w:color w:val="000000"/>
                              <w:lang w:val="it-IT"/>
                            </w:rPr>
                            <w:instrText> PAGE </w:instrText>
                          </w:r>
                          <w:r>
                            <w:rPr>
                              <w:color w:val="000000"/>
                              <w:lang w:val="it-IT"/>
                            </w:rPr>
                            <w:fldChar w:fldCharType="separate"/>
                          </w:r>
                          <w:r>
                            <w:rPr>
                              <w:color w:val="000000"/>
                              <w:lang w:val="it-IT"/>
                            </w:rPr>
                            <w:t>5</w:t>
                          </w:r>
                          <w:r>
                            <w:rPr>
                              <w:color w:val="000000"/>
                              <w:lang w:val="it-IT"/>
                            </w:rPr>
                            <w:fldChar w:fldCharType="end"/>
                          </w:r>
                        </w:p>
                      </w:txbxContent>
                    </wps:txbx>
                    <wps:bodyPr lIns="0" rIns="0" tIns="0" bIns="0">
                      <a:noAutofit/>
                    </wps:bodyPr>
                  </wps:wsp>
                </a:graphicData>
              </a:graphic>
            </wp:anchor>
          </w:drawing>
        </mc:Choice>
        <mc:Fallback>
          <w:pict>
            <v:rect id="shape_0" ID="Text Box 1" stroked="f" style="position:absolute;margin-left:508.3pt;margin-top:790.5pt;width:17.9pt;height:14.45pt;mso-position-horizontal-relative:page;mso-position-vertical-relative:page" wp14:anchorId="779723DC">
              <w10:wrap type="square"/>
              <v:fill o:detectmouseclick="t" on="false"/>
              <v:stroke color="#3465a4" joinstyle="round" endcap="flat"/>
              <v:textbox>
                <w:txbxContent>
                  <w:p>
                    <w:pPr>
                      <w:pStyle w:val="FrameContents"/>
                      <w:spacing w:before="13" w:after="0"/>
                      <w:ind w:left="60" w:hanging="0"/>
                      <w:rPr>
                        <w:lang w:val="it-IT"/>
                      </w:rPr>
                    </w:pPr>
                    <w:r>
                      <w:rPr>
                        <w:color w:val="000000"/>
                        <w:lang w:val="it-IT"/>
                      </w:rPr>
                      <w:fldChar w:fldCharType="begin"/>
                    </w:r>
                    <w:r>
                      <w:rPr>
                        <w:color w:val="000000"/>
                        <w:lang w:val="it-IT"/>
                      </w:rPr>
                      <w:instrText> PAGE </w:instrText>
                    </w:r>
                    <w:r>
                      <w:rPr>
                        <w:color w:val="000000"/>
                        <w:lang w:val="it-IT"/>
                      </w:rPr>
                      <w:fldChar w:fldCharType="separate"/>
                    </w:r>
                    <w:r>
                      <w:rPr>
                        <w:color w:val="000000"/>
                        <w:lang w:val="it-IT"/>
                      </w:rPr>
                      <w:t>5</w:t>
                    </w:r>
                    <w:r>
                      <w:rPr>
                        <w:color w:val="000000"/>
                        <w:lang w:val="it-IT"/>
                      </w:rPr>
                      <w:fldChar w:fldCharType="end"/>
                    </w:r>
                  </w:p>
                </w:txbxContent>
              </v:textbox>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100" w:hanging="353"/>
      </w:pPr>
      <w:rPr>
        <w:sz w:val="22"/>
        <w:spacing w:val="-1"/>
        <w:b/>
        <w:szCs w:val="22"/>
        <w:bCs/>
        <w:w w:val="100"/>
        <w:rFonts w:eastAsia="Arial" w:cs="Arial"/>
        <w:lang w:eastAsia="en-US" w:bidi="ar-SA"/>
      </w:rPr>
    </w:lvl>
    <w:lvl w:ilvl="1">
      <w:start w:val="0"/>
      <w:numFmt w:val="bullet"/>
      <w:lvlText w:val=""/>
      <w:lvlJc w:val="left"/>
      <w:pPr>
        <w:tabs>
          <w:tab w:val="num" w:pos="0"/>
        </w:tabs>
        <w:ind w:left="1091" w:hanging="353"/>
      </w:pPr>
      <w:rPr>
        <w:rFonts w:ascii="Symbol" w:hAnsi="Symbol" w:cs="Symbol" w:hint="default"/>
      </w:rPr>
    </w:lvl>
    <w:lvl w:ilvl="2">
      <w:start w:val="0"/>
      <w:numFmt w:val="bullet"/>
      <w:lvlText w:val=""/>
      <w:lvlJc w:val="left"/>
      <w:pPr>
        <w:tabs>
          <w:tab w:val="num" w:pos="0"/>
        </w:tabs>
        <w:ind w:left="2082" w:hanging="353"/>
      </w:pPr>
      <w:rPr>
        <w:rFonts w:ascii="Symbol" w:hAnsi="Symbol" w:cs="Symbol" w:hint="default"/>
      </w:rPr>
    </w:lvl>
    <w:lvl w:ilvl="3">
      <w:start w:val="0"/>
      <w:numFmt w:val="bullet"/>
      <w:lvlText w:val=""/>
      <w:lvlJc w:val="left"/>
      <w:pPr>
        <w:tabs>
          <w:tab w:val="num" w:pos="0"/>
        </w:tabs>
        <w:ind w:left="3073" w:hanging="353"/>
      </w:pPr>
      <w:rPr>
        <w:rFonts w:ascii="Symbol" w:hAnsi="Symbol" w:cs="Symbol" w:hint="default"/>
      </w:rPr>
    </w:lvl>
    <w:lvl w:ilvl="4">
      <w:start w:val="0"/>
      <w:numFmt w:val="bullet"/>
      <w:lvlText w:val=""/>
      <w:lvlJc w:val="left"/>
      <w:pPr>
        <w:tabs>
          <w:tab w:val="num" w:pos="0"/>
        </w:tabs>
        <w:ind w:left="4064" w:hanging="353"/>
      </w:pPr>
      <w:rPr>
        <w:rFonts w:ascii="Symbol" w:hAnsi="Symbol" w:cs="Symbol" w:hint="default"/>
      </w:rPr>
    </w:lvl>
    <w:lvl w:ilvl="5">
      <w:start w:val="0"/>
      <w:numFmt w:val="bullet"/>
      <w:lvlText w:val=""/>
      <w:lvlJc w:val="left"/>
      <w:pPr>
        <w:tabs>
          <w:tab w:val="num" w:pos="0"/>
        </w:tabs>
        <w:ind w:left="5055" w:hanging="353"/>
      </w:pPr>
      <w:rPr>
        <w:rFonts w:ascii="Symbol" w:hAnsi="Symbol" w:cs="Symbol" w:hint="default"/>
      </w:rPr>
    </w:lvl>
    <w:lvl w:ilvl="6">
      <w:start w:val="0"/>
      <w:numFmt w:val="bullet"/>
      <w:lvlText w:val=""/>
      <w:lvlJc w:val="left"/>
      <w:pPr>
        <w:tabs>
          <w:tab w:val="num" w:pos="0"/>
        </w:tabs>
        <w:ind w:left="6046" w:hanging="353"/>
      </w:pPr>
      <w:rPr>
        <w:rFonts w:ascii="Symbol" w:hAnsi="Symbol" w:cs="Symbol" w:hint="default"/>
      </w:rPr>
    </w:lvl>
    <w:lvl w:ilvl="7">
      <w:start w:val="0"/>
      <w:numFmt w:val="bullet"/>
      <w:lvlText w:val=""/>
      <w:lvlJc w:val="left"/>
      <w:pPr>
        <w:tabs>
          <w:tab w:val="num" w:pos="0"/>
        </w:tabs>
        <w:ind w:left="7037" w:hanging="353"/>
      </w:pPr>
      <w:rPr>
        <w:rFonts w:ascii="Symbol" w:hAnsi="Symbol" w:cs="Symbol" w:hint="default"/>
      </w:rPr>
    </w:lvl>
    <w:lvl w:ilvl="8">
      <w:start w:val="0"/>
      <w:numFmt w:val="bullet"/>
      <w:lvlText w:val=""/>
      <w:lvlJc w:val="left"/>
      <w:pPr>
        <w:tabs>
          <w:tab w:val="num" w:pos="0"/>
        </w:tabs>
        <w:ind w:left="8028" w:hanging="35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200"/>
  <w:defaultTabStop w:val="7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it-I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Arial MT" w:hAnsi="Arial MT" w:eastAsia="Arial MT" w:cs="Arial MT"/>
      <w:color w:val="auto"/>
      <w:kern w:val="0"/>
      <w:sz w:val="22"/>
      <w:szCs w:val="22"/>
      <w:lang w:val="it-IT" w:eastAsia="en-US" w:bidi="ar-SA"/>
    </w:rPr>
  </w:style>
  <w:style w:type="paragraph" w:styleId="Heading1">
    <w:name w:val="Heading 1"/>
    <w:basedOn w:val="Normal"/>
    <w:uiPriority w:val="9"/>
    <w:qFormat/>
    <w:pPr>
      <w:ind w:left="2352" w:hanging="0"/>
      <w:outlineLvl w:val="0"/>
    </w:pPr>
    <w:rPr>
      <w:sz w:val="28"/>
      <w:szCs w:val="28"/>
    </w:rPr>
  </w:style>
  <w:style w:type="paragraph" w:styleId="Heading2">
    <w:name w:val="Heading 2"/>
    <w:basedOn w:val="Normal"/>
    <w:uiPriority w:val="9"/>
    <w:unhideWhenUsed/>
    <w:qFormat/>
    <w:pPr>
      <w:ind w:left="100" w:hanging="0"/>
      <w:outlineLvl w:val="1"/>
    </w:pPr>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Arial" w:hAnsi="Arial" w:eastAsia="Arial" w:cs="Arial"/>
      <w:b/>
      <w:bCs/>
      <w:sz w:val="20"/>
      <w:szCs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0"/>
    <w:qFormat/>
    <w:pPr>
      <w:spacing w:before="89" w:after="0"/>
      <w:ind w:left="2115" w:right="4167" w:hanging="0"/>
      <w:jc w:val="center"/>
    </w:pPr>
    <w:rPr>
      <w:rFonts w:ascii="Arial" w:hAnsi="Arial" w:eastAsia="Arial" w:cs="Arial"/>
      <w:b/>
      <w:bCs/>
      <w:i/>
      <w:iCs/>
      <w:sz w:val="32"/>
      <w:szCs w:val="32"/>
    </w:rPr>
  </w:style>
  <w:style w:type="paragraph" w:styleId="ListParagraph">
    <w:name w:val="List Paragraph"/>
    <w:basedOn w:val="Normal"/>
    <w:uiPriority w:val="1"/>
    <w:qFormat/>
    <w:pPr>
      <w:ind w:left="100" w:hanging="0"/>
    </w:pPr>
    <w:rPr>
      <w:rFonts w:ascii="Arial" w:hAnsi="Arial" w:eastAsia="Arial" w:cs="Arial"/>
    </w:rPr>
  </w:style>
  <w:style w:type="paragraph" w:styleId="TableParagraph" w:customStyle="1">
    <w:name w:val="Table Paragraph"/>
    <w:basedOn w:val="Normal"/>
    <w:uiPriority w:val="1"/>
    <w:qFormat/>
    <w:pPr>
      <w:spacing w:lineRule="exact" w:line="210"/>
      <w:ind w:left="119" w:hanging="0"/>
    </w:pPr>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ortal.issn.org/resource/ISSN/2072-4292" TargetMode="External"/><Relationship Id="rId3" Type="http://schemas.openxmlformats.org/officeDocument/2006/relationships/hyperlink" Target="https://github.com/pfaz69/ForecastPM"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554F457710E4A4B842CF8ECB359F7D4" ma:contentTypeVersion="17" ma:contentTypeDescription="Creare un nuovo documento." ma:contentTypeScope="" ma:versionID="d4a6f092aef82893244d595d464a96d6">
  <xsd:schema xmlns:xsd="http://www.w3.org/2001/XMLSchema" xmlns:xs="http://www.w3.org/2001/XMLSchema" xmlns:p="http://schemas.microsoft.com/office/2006/metadata/properties" xmlns:ns2="1eca124a-8b1d-46ff-98be-4012aac85da3" xmlns:ns3="e4882009-3638-424a-98f6-5d32e91ab190" targetNamespace="http://schemas.microsoft.com/office/2006/metadata/properties" ma:root="true" ma:fieldsID="94bb483e9dc0e16b32e3d75fbf4b1c3a" ns2:_="" ns3:_="">
    <xsd:import namespace="1eca124a-8b1d-46ff-98be-4012aac85da3"/>
    <xsd:import namespace="e4882009-3638-424a-98f6-5d32e91ab19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a124a-8b1d-46ff-98be-4012aac85d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Tag immagine"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882009-3638-424a-98f6-5d32e91ab190" elementFormDefault="qualified">
    <xsd:import namespace="http://schemas.microsoft.com/office/2006/documentManagement/types"/>
    <xsd:import namespace="http://schemas.microsoft.com/office/infopath/2007/PartnerControls"/>
    <xsd:element name="SharedWithUsers" ma:index="2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73C26E-AC2E-4306-8CC2-4ECEC51C4F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a124a-8b1d-46ff-98be-4012aac85da3"/>
    <ds:schemaRef ds:uri="e4882009-3638-424a-98f6-5d32e91ab1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8E4210-9541-4CFB-A7E3-22BDD78F74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8571</TotalTime>
  <Application>LibreOffice/6.4.7.2$Linux_X86_64 LibreOffice_project/40$Build-2</Application>
  <Pages>5</Pages>
  <Words>2121</Words>
  <Characters>13935</Characters>
  <CharactersWithSpaces>15971</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2025-05-08T07:55:00Z</dcterms:created>
  <dc:creator>CHIARA CIMBALO</dc:creator>
  <dc:description/>
  <dc:language>it-IT</dc:language>
  <cp:lastModifiedBy/>
  <dcterms:modified xsi:type="dcterms:W3CDTF">2025-09-01T09:18:44Z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2024-06-19T00:00:00Z</vt:filetime>
  </property>
  <property fmtid="{D5CDD505-2E9C-101B-9397-08002B2CF9AE}" pid="4" name="Creator">
    <vt:lpwstr>Microsoft® Word per Microsoft 365</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2024-06-20T00:00:00Z</vt:filetime>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