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eastAsia="Arial" w:cs="Arial"/>
          <w:b/>
          <w:b/>
          <w:bCs/>
          <w:sz w:val="22"/>
          <w:szCs w:val="22"/>
        </w:rPr>
      </w:pPr>
      <w:r>
        <w:rPr>
          <w:rFonts w:eastAsia="Arial" w:cs="Arial" w:ascii="Arial" w:hAnsi="Arial"/>
          <w:b/>
          <w:bCs/>
          <w:sz w:val="22"/>
          <w:szCs w:val="22"/>
        </w:rPr>
        <w:tab/>
        <w:tab/>
        <w:tab/>
        <w:tab/>
        <w:tab/>
        <w:tab/>
        <w:tab/>
        <w:tab/>
        <w:tab/>
        <w:tab/>
      </w:r>
    </w:p>
    <w:p>
      <w:pPr>
        <w:pStyle w:val="Normal"/>
        <w:jc w:val="center"/>
        <w:rPr>
          <w:rFonts w:ascii="Arial" w:hAnsi="Arial" w:eastAsia="Arial" w:cs="Arial"/>
        </w:rPr>
      </w:pPr>
      <w:r>
        <w:rPr>
          <w:b/>
          <w:bCs/>
          <w:sz w:val="22"/>
          <w:szCs w:val="22"/>
        </w:rPr>
        <w:t xml:space="preserve">IL DIRETTORE </w:t>
      </w:r>
    </w:p>
    <w:p>
      <w:pPr>
        <w:pStyle w:val="Normal"/>
        <w:jc w:val="both"/>
        <w:rPr>
          <w:rFonts w:ascii="Arial" w:hAnsi="Arial" w:eastAsia="Arial" w:cs="Arial"/>
          <w:b/>
          <w:b/>
          <w:bCs/>
          <w:sz w:val="22"/>
          <w:szCs w:val="22"/>
        </w:rPr>
      </w:pPr>
      <w:r>
        <w:rPr>
          <w:rFonts w:eastAsia="Arial" w:cs="Arial" w:ascii="Arial" w:hAnsi="Arial"/>
          <w:b/>
          <w:bCs/>
          <w:sz w:val="22"/>
          <w:szCs w:val="22"/>
        </w:rPr>
      </w:r>
    </w:p>
    <w:p>
      <w:pPr>
        <w:pStyle w:val="Normal"/>
        <w:jc w:val="both"/>
        <w:rPr>
          <w:sz w:val="22"/>
          <w:szCs w:val="22"/>
        </w:rPr>
      </w:pPr>
      <w:r>
        <w:rPr>
          <w:b/>
          <w:bCs/>
          <w:sz w:val="22"/>
          <w:szCs w:val="22"/>
        </w:rPr>
        <w:t>VISTO</w:t>
      </w:r>
      <w:r>
        <w:rPr>
          <w:sz w:val="22"/>
          <w:szCs w:val="22"/>
        </w:rPr>
        <w:t xml:space="preserve"> lo Statuto del Consiglio Nazionale delle Ricerche, emanato con provvedimento del Presidente n. 93, prot. AMMCNT-CNR n. 0051080 del 19 luglio 2018, di cui è stato dato l’avviso di pubblicazione sul sito del Ministero dell’Istruzione, dell’Università e della Ricerca in data 25 luglio 2018, entrato in vigore in data 1° agosto 2018;</w:t>
      </w:r>
    </w:p>
    <w:p>
      <w:pPr>
        <w:pStyle w:val="Normal"/>
        <w:jc w:val="both"/>
        <w:rPr>
          <w:b/>
          <w:b/>
          <w:bCs/>
          <w:sz w:val="22"/>
          <w:szCs w:val="22"/>
        </w:rPr>
      </w:pPr>
      <w:r>
        <w:rPr>
          <w:b/>
          <w:bCs/>
          <w:sz w:val="22"/>
          <w:szCs w:val="22"/>
        </w:rPr>
      </w:r>
    </w:p>
    <w:p>
      <w:pPr>
        <w:pStyle w:val="Normal"/>
        <w:jc w:val="both"/>
        <w:rPr>
          <w:sz w:val="22"/>
          <w:szCs w:val="22"/>
        </w:rPr>
      </w:pPr>
      <w:r>
        <w:rPr>
          <w:b/>
          <w:bCs/>
          <w:sz w:val="22"/>
          <w:szCs w:val="22"/>
        </w:rPr>
        <w:t>VISTO</w:t>
      </w:r>
      <w:r>
        <w:rPr>
          <w:sz w:val="22"/>
          <w:szCs w:val="22"/>
        </w:rPr>
        <w:t xml:space="preserve"> il Regolamento di organizzazione e funzionamento del Consiglio nazionale delle ricerche, emanato con provvedimento del Presidente n.14 di cui al protocollo AMMCNT-CNR n. 12030 del 18 febbraio 2019 di cui è stato dato l’avviso di pubblicazione sul sito del Ministero dell’Istruzione, dell’Università e della Ricerca il 19 febbraio 2019, entrato in vigore in data 1° marzo 2019;</w:t>
      </w:r>
    </w:p>
    <w:p>
      <w:pPr>
        <w:pStyle w:val="Normal"/>
        <w:spacing w:before="120" w:after="120"/>
        <w:jc w:val="both"/>
        <w:rPr>
          <w:sz w:val="22"/>
          <w:szCs w:val="22"/>
        </w:rPr>
      </w:pPr>
      <w:r>
        <w:rPr>
          <w:b/>
          <w:bCs/>
          <w:sz w:val="22"/>
          <w:szCs w:val="22"/>
        </w:rPr>
        <w:t xml:space="preserve">VISTO </w:t>
      </w:r>
      <w:r>
        <w:rPr>
          <w:sz w:val="22"/>
          <w:szCs w:val="22"/>
        </w:rPr>
        <w:t>il Decreto del Presidente, provvedimento n. 00026 prot. 21832 del 15 aprile 2013, recante l’atto costitutivo dell’Istituto sull’Inquinamento Atmosferico;</w:t>
      </w:r>
    </w:p>
    <w:p>
      <w:pPr>
        <w:pStyle w:val="Normal"/>
        <w:jc w:val="both"/>
        <w:rPr>
          <w:sz w:val="22"/>
          <w:szCs w:val="22"/>
        </w:rPr>
      </w:pPr>
      <w:r>
        <w:rPr>
          <w:b/>
          <w:bCs/>
          <w:sz w:val="22"/>
          <w:szCs w:val="22"/>
        </w:rPr>
        <w:t>VISTO</w:t>
      </w:r>
      <w:r>
        <w:rPr>
          <w:sz w:val="22"/>
          <w:szCs w:val="22"/>
        </w:rPr>
        <w:t xml:space="preserve"> il Regolamento (UE) 2016/679 del Parlamento Europeo e del Consiglio del 27 aprile 2016 «</w:t>
      </w:r>
      <w:r>
        <w:rPr>
          <w:i/>
          <w:iCs/>
          <w:sz w:val="22"/>
          <w:szCs w:val="22"/>
        </w:rPr>
        <w:t>relativo alla protezione delle persone fisiche con riguardo al trattamento dei dati personali, nonché alla libera circolazione di tali dati e che abroga la direttiva 95/46/CE (Regolamento generale sulla protezione dei dati)</w:t>
      </w:r>
      <w:r>
        <w:rPr>
          <w:sz w:val="22"/>
          <w:szCs w:val="22"/>
        </w:rPr>
        <w:t>», in vigore dal 24 maggio 2016 e applicabile a partire dal 25 maggio 2018;</w:t>
      </w:r>
    </w:p>
    <w:p>
      <w:pPr>
        <w:pStyle w:val="Normal"/>
        <w:jc w:val="both"/>
        <w:rPr>
          <w:b/>
          <w:b/>
          <w:bCs/>
          <w:sz w:val="22"/>
          <w:szCs w:val="22"/>
        </w:rPr>
      </w:pPr>
      <w:r>
        <w:rPr>
          <w:b/>
          <w:bCs/>
          <w:sz w:val="22"/>
          <w:szCs w:val="22"/>
        </w:rPr>
      </w:r>
    </w:p>
    <w:p>
      <w:pPr>
        <w:pStyle w:val="Normal"/>
        <w:jc w:val="both"/>
        <w:rPr>
          <w:sz w:val="22"/>
          <w:szCs w:val="22"/>
        </w:rPr>
      </w:pPr>
      <w:r>
        <w:rPr>
          <w:b/>
          <w:bCs/>
          <w:sz w:val="22"/>
          <w:szCs w:val="22"/>
        </w:rPr>
        <w:t xml:space="preserve">VISTO </w:t>
      </w:r>
      <w:r>
        <w:rPr>
          <w:sz w:val="22"/>
          <w:szCs w:val="22"/>
        </w:rPr>
        <w:t xml:space="preserve">il Provvedimento n.22 del Direttore Generale del Cnr (prot.n. 00144822020 del 25/02/2020) che attribuisce l’incarico di Direttore dell’Istituto sull’Inquinamento Atmosferico al Dr. Francesco Petracchini </w:t>
      </w:r>
    </w:p>
    <w:p>
      <w:pPr>
        <w:pStyle w:val="Normal"/>
        <w:jc w:val="both"/>
        <w:rPr>
          <w:sz w:val="22"/>
          <w:szCs w:val="22"/>
        </w:rPr>
      </w:pPr>
      <w:r>
        <w:rPr>
          <w:sz w:val="22"/>
          <w:szCs w:val="22"/>
        </w:rPr>
      </w:r>
    </w:p>
    <w:p>
      <w:pPr>
        <w:pStyle w:val="Normal"/>
        <w:jc w:val="both"/>
        <w:rPr>
          <w:bCs/>
          <w:sz w:val="22"/>
          <w:szCs w:val="22"/>
        </w:rPr>
      </w:pPr>
      <w:r>
        <w:rPr>
          <w:b/>
          <w:bCs/>
          <w:sz w:val="22"/>
          <w:szCs w:val="22"/>
        </w:rPr>
        <w:t xml:space="preserve">CONSIDERATO  </w:t>
      </w:r>
      <w:r>
        <w:rPr>
          <w:bCs/>
          <w:sz w:val="22"/>
          <w:szCs w:val="22"/>
        </w:rPr>
        <w:t>il LIBRO BIANCO sull’Intelligenza Artificiale – Un approccio europeo all’eccellenza e alla fiducia -  pubblicato dalla Commissione Europea il 19/02/2020 COM82020) 65 finalizzato ad evidenziare i punti di forza e di debolezza della ricerca europea sull’intelligenza artificiale (IA) a la sua applicazione nel mercato industriale  per arrivare a costruire un ecosistema di eccellenza che possa sostenere lo sviluppo dell’IA nell’economia e nella pubblica amministrazione dell’UE</w:t>
      </w:r>
    </w:p>
    <w:p>
      <w:pPr>
        <w:pStyle w:val="Normal"/>
        <w:jc w:val="both"/>
        <w:rPr>
          <w:bCs/>
          <w:sz w:val="22"/>
          <w:szCs w:val="22"/>
        </w:rPr>
      </w:pPr>
      <w:r>
        <w:rPr>
          <w:bCs/>
          <w:sz w:val="22"/>
          <w:szCs w:val="22"/>
        </w:rPr>
      </w:r>
    </w:p>
    <w:p>
      <w:pPr>
        <w:pStyle w:val="Normal"/>
        <w:jc w:val="both"/>
        <w:rPr>
          <w:bCs/>
          <w:sz w:val="22"/>
          <w:szCs w:val="22"/>
        </w:rPr>
      </w:pPr>
      <w:r>
        <w:rPr>
          <w:b/>
          <w:bCs/>
          <w:sz w:val="22"/>
          <w:szCs w:val="22"/>
        </w:rPr>
        <w:t xml:space="preserve">CONSIDERATA </w:t>
      </w:r>
      <w:r>
        <w:rPr>
          <w:bCs/>
          <w:sz w:val="22"/>
          <w:szCs w:val="22"/>
        </w:rPr>
        <w:t xml:space="preserve">la Relazione sulle implicazioni dell’intelligenza artificiale (AI) dell’Internet delle Cose e della robotica in materia di sicurezza e responsabilità  -  pubblicata dalla Commissione Europea il 19/02/2020 COM82020) 64 che esplicita l’importanza di definire un quadro giuridico chiaro che funga da cornice a queste tecnologie; </w:t>
      </w:r>
    </w:p>
    <w:p>
      <w:pPr>
        <w:pStyle w:val="Normal"/>
        <w:jc w:val="both"/>
        <w:rPr>
          <w:bCs/>
          <w:sz w:val="22"/>
          <w:szCs w:val="22"/>
        </w:rPr>
      </w:pPr>
      <w:r>
        <w:rPr>
          <w:bCs/>
          <w:sz w:val="22"/>
          <w:szCs w:val="22"/>
        </w:rPr>
      </w:r>
    </w:p>
    <w:p>
      <w:pPr>
        <w:pStyle w:val="Normal"/>
        <w:jc w:val="both"/>
        <w:rPr>
          <w:b/>
          <w:b/>
          <w:bCs/>
          <w:sz w:val="22"/>
          <w:szCs w:val="22"/>
        </w:rPr>
      </w:pPr>
      <w:r>
        <w:rPr>
          <w:b/>
          <w:bCs/>
          <w:sz w:val="22"/>
          <w:szCs w:val="22"/>
        </w:rPr>
        <w:t xml:space="preserve">VISTO </w:t>
      </w:r>
      <w:r>
        <w:rPr>
          <w:bCs/>
          <w:sz w:val="22"/>
          <w:szCs w:val="22"/>
        </w:rPr>
        <w:t xml:space="preserve">che il Ministero dello Sviluppo Economico ha pubblicato in data 02/07/2020 un documento, elaborato da un gruppo di esperti ad hoc nominati, sulla Strategia Italiana per l’Intelligenza Artificiale dove all’interno  sono state indicate 82 proposte per il rilancio dell’Italia attraverso la tecnologia digitale e in particolare l’AI; </w:t>
      </w:r>
    </w:p>
    <w:p>
      <w:pPr>
        <w:pStyle w:val="Normal"/>
        <w:jc w:val="both"/>
        <w:rPr>
          <w:b/>
          <w:b/>
          <w:bCs/>
          <w:sz w:val="22"/>
          <w:szCs w:val="22"/>
        </w:rPr>
      </w:pPr>
      <w:r>
        <w:rPr>
          <w:b/>
          <w:bCs/>
          <w:sz w:val="22"/>
          <w:szCs w:val="22"/>
        </w:rPr>
      </w:r>
    </w:p>
    <w:p>
      <w:pPr>
        <w:pStyle w:val="Normal"/>
        <w:jc w:val="both"/>
        <w:rPr>
          <w:sz w:val="22"/>
          <w:szCs w:val="22"/>
        </w:rPr>
      </w:pPr>
      <w:r>
        <w:rPr>
          <w:b/>
          <w:bCs/>
          <w:sz w:val="22"/>
          <w:szCs w:val="22"/>
        </w:rPr>
        <w:t>VISTO</w:t>
      </w:r>
      <w:r>
        <w:rPr>
          <w:sz w:val="22"/>
          <w:szCs w:val="22"/>
        </w:rPr>
        <w:t xml:space="preserve"> il verbale del Consiglio di Istituto tenutosi on line il 14/07/2020 dove al punto 1 a) dell’ordine del giorno </w:t>
      </w:r>
      <w:r>
        <w:rPr>
          <w:i/>
          <w:iCs/>
          <w:sz w:val="22"/>
          <w:szCs w:val="22"/>
        </w:rPr>
        <w:t>Stato attuale Istituto, strategie e sviluppi futuri</w:t>
      </w:r>
      <w:r>
        <w:rPr>
          <w:sz w:val="22"/>
          <w:szCs w:val="22"/>
        </w:rPr>
        <w:t xml:space="preserve"> il Direttore nel descrivere la propria visione dell’Istituto ha deciso, sentiti i ricercatori della linea di attività </w:t>
      </w:r>
      <w:r>
        <w:rPr>
          <w:i/>
          <w:iCs/>
          <w:sz w:val="22"/>
          <w:szCs w:val="22"/>
        </w:rPr>
        <w:t>Qualità dell’aria in ambito urbano ed industriale</w:t>
      </w:r>
      <w:r>
        <w:rPr>
          <w:sz w:val="22"/>
          <w:szCs w:val="22"/>
        </w:rPr>
        <w:t xml:space="preserve"> di potenziare le attività e di acquisire nuove professionalità sulla modellistica atmosferica ad alta risoluzione spaziale con approcci classici e di intelligenza artificiale;</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b/>
          <w:b/>
          <w:bCs/>
          <w:sz w:val="22"/>
          <w:szCs w:val="22"/>
        </w:rPr>
      </w:pPr>
      <w:r>
        <w:rPr>
          <w:b/>
          <w:bCs/>
          <w:sz w:val="22"/>
          <w:szCs w:val="22"/>
        </w:rPr>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bCs/>
          <w:sz w:val="22"/>
          <w:szCs w:val="22"/>
        </w:rPr>
      </w:pPr>
      <w:r>
        <w:rPr>
          <w:b/>
          <w:bCs/>
          <w:sz w:val="22"/>
          <w:szCs w:val="22"/>
        </w:rPr>
        <w:t xml:space="preserve">CONSIDERATO </w:t>
      </w:r>
      <w:r>
        <w:rPr>
          <w:bCs/>
          <w:sz w:val="22"/>
          <w:szCs w:val="22"/>
        </w:rPr>
        <w:t>che il MUR ha costituito presso il CNR un Comitato con il compito di elaborare la strategia italiana nell’alta formazione per l’AI finanziando sia il CNR (4Ml) che l’Università di Pisa (3,85Ml) per dar vita al Dottorato nazionale in Intelligenza Artificiale con cinque corsi, a partire dall’anno accademico 2021/2022, promossi sul territorio nazionale da raggruppamenti di università ed enti pubblici di ricerca, ciascuno coordinato da un università capofila, tra i quali il corso PhD-AI.it: Area Agrifood e Ambiente (coordinato dall’Università degli Studi di Napoli Federico II) può trovare una corrispondenza con la mission del nostro Istituto;</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b/>
          <w:b/>
          <w:bCs/>
          <w:sz w:val="22"/>
          <w:szCs w:val="22"/>
        </w:rPr>
      </w:pPr>
      <w:r>
        <w:rPr>
          <w:b/>
          <w:bCs/>
          <w:sz w:val="22"/>
          <w:szCs w:val="22"/>
        </w:rPr>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both"/>
        <w:rPr>
          <w:color w:val="auto"/>
          <w:sz w:val="22"/>
          <w:szCs w:val="22"/>
        </w:rPr>
      </w:pPr>
      <w:r>
        <w:rPr>
          <w:b/>
          <w:bCs/>
          <w:sz w:val="22"/>
          <w:szCs w:val="22"/>
        </w:rPr>
        <w:t>RAVVISATO</w:t>
      </w:r>
      <w:r>
        <w:rPr>
          <w:sz w:val="22"/>
          <w:szCs w:val="22"/>
        </w:rPr>
        <w:t xml:space="preserve"> che occorre provvedere alla nomina di un Gruppo di Lavoro IIA trasversale alle diversi Sedi IIA con il compito di approfondire le opportunità date dall’Intelligenza Artificiale la cui applicazione possa dare un valore aggiunto alle</w:t>
      </w:r>
      <w:r>
        <w:rPr>
          <w:color w:val="auto"/>
          <w:sz w:val="22"/>
          <w:szCs w:val="22"/>
        </w:rPr>
        <w:t xml:space="preserve"> attività proprie del CNR-IIA nel quadro della Programmazione europea del Green New Deal;</w:t>
      </w:r>
    </w:p>
    <w:p>
      <w:pPr>
        <w:pStyle w:val="Normal"/>
        <w:jc w:val="both"/>
        <w:rPr>
          <w:sz w:val="22"/>
          <w:szCs w:val="22"/>
        </w:rPr>
      </w:pPr>
      <w:r>
        <w:rPr>
          <w:sz w:val="22"/>
          <w:szCs w:val="22"/>
        </w:rPr>
      </w:r>
    </w:p>
    <w:p>
      <w:pPr>
        <w:pStyle w:val="Normal"/>
        <w:jc w:val="both"/>
        <w:rPr>
          <w:sz w:val="22"/>
          <w:szCs w:val="22"/>
        </w:rPr>
      </w:pPr>
      <w:r>
        <w:rPr>
          <w:b/>
          <w:bCs/>
          <w:sz w:val="22"/>
          <w:szCs w:val="22"/>
        </w:rPr>
        <w:t xml:space="preserve">ACQUISITO </w:t>
      </w:r>
      <w:r>
        <w:rPr>
          <w:sz w:val="22"/>
          <w:szCs w:val="22"/>
        </w:rPr>
        <w:t>per le vie brevi il parere favorevole da parte degli interessati.</w:t>
      </w:r>
    </w:p>
    <w:p>
      <w:pPr>
        <w:pStyle w:val="Normal"/>
        <w:jc w:val="both"/>
        <w:rPr>
          <w:b/>
          <w:b/>
          <w:bCs/>
          <w:sz w:val="22"/>
          <w:szCs w:val="22"/>
        </w:rPr>
      </w:pPr>
      <w:r>
        <w:rPr>
          <w:b/>
          <w:bCs/>
          <w:sz w:val="22"/>
          <w:szCs w:val="22"/>
        </w:rPr>
      </w:r>
    </w:p>
    <w:p>
      <w:pPr>
        <w:pStyle w:val="Normal"/>
        <w:jc w:val="center"/>
        <w:rPr>
          <w:b/>
          <w:b/>
          <w:bCs/>
          <w:sz w:val="22"/>
          <w:szCs w:val="22"/>
        </w:rPr>
      </w:pPr>
      <w:r>
        <w:rPr>
          <w:b/>
          <w:bCs/>
          <w:sz w:val="22"/>
          <w:szCs w:val="22"/>
        </w:rPr>
        <w:t>DISPONE</w:t>
      </w:r>
    </w:p>
    <w:p>
      <w:pPr>
        <w:pStyle w:val="Normal"/>
        <w:jc w:val="both"/>
        <w:rPr>
          <w:sz w:val="22"/>
          <w:szCs w:val="22"/>
        </w:rPr>
      </w:pPr>
      <w:r>
        <w:rPr>
          <w:sz w:val="22"/>
          <w:szCs w:val="22"/>
        </w:rPr>
        <w:t>La nomina di un Gruppo di Lavoro finalizzato a:</w:t>
      </w:r>
    </w:p>
    <w:p>
      <w:pPr>
        <w:pStyle w:val="Normal"/>
        <w:jc w:val="both"/>
        <w:rPr>
          <w:sz w:val="22"/>
          <w:szCs w:val="22"/>
        </w:rPr>
      </w:pPr>
      <w:r>
        <w:rPr>
          <w:sz w:val="22"/>
          <w:szCs w:val="22"/>
        </w:rPr>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 studiare lo stato dell'arte di quelle tematiche di intelligenza artificiale (includendo ma non limitandosi a: reti neurali, reti bayesiane, reinforcement learning, sistemi esperti) che possano trovare applicazione nelle attività proprie della missione del CNR-IIA;</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 supportare i vari laboratori del CNR-IIA nella stesura di progetti e grant applications che beneficino dell'uso di algoritmi di intelligenza artificiale;</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 determinare quegli approcci di intelligenza artificiale maggiormente in linea con la visione dell'Unione Europea con particolare riferimento a principi etici quali Trasparenza, Inclusione, Responsabilità, Imparzialità, Affidabilità, Sicurezza e Privacy:</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 studiare le tecniche per comprendere e spiegare i meccanismi decisionali insiti nei vari algoritmi di intelligenza artificiale;</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-proporre ai vari laboratori del CNR-IIA lo sviluppo congiunto di progetti innovativi e cutting-edge;</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 diventare un Istituto attrattivo nel settore dell’applicazione dell’AI nell’ambiente per l’alta formazione nell’ambito dei Dottorati nazionali in AI di cui in premessa;</w:t>
      </w:r>
    </w:p>
    <w:p>
      <w:pPr>
        <w:pStyle w:val="ListParagraph"/>
        <w:rPr>
          <w:rFonts w:cs="Times New Roman"/>
          <w:sz w:val="22"/>
          <w:szCs w:val="22"/>
        </w:rPr>
      </w:pPr>
      <w:r>
        <w:rPr>
          <w:rFonts w:cs="Times New Roman"/>
          <w:sz w:val="22"/>
          <w:szCs w:val="22"/>
        </w:rPr>
      </w:r>
    </w:p>
    <w:p>
      <w:pPr>
        <w:pStyle w:val="Normal"/>
        <w:jc w:val="both"/>
        <w:rPr>
          <w:sz w:val="22"/>
          <w:szCs w:val="22"/>
        </w:rPr>
      </w:pPr>
      <w:r>
        <w:rPr>
          <w:sz w:val="22"/>
          <w:szCs w:val="22"/>
        </w:rPr>
        <w:t>Il Gruppo di lavoro è composto da:</w:t>
      </w:r>
    </w:p>
    <w:p>
      <w:pPr>
        <w:pStyle w:val="Normal"/>
        <w:jc w:val="both"/>
        <w:rPr>
          <w:sz w:val="22"/>
          <w:szCs w:val="22"/>
        </w:rPr>
      </w:pPr>
      <w:r>
        <w:rPr>
          <w:sz w:val="22"/>
          <w:szCs w:val="22"/>
        </w:rPr>
      </w:r>
    </w:p>
    <w:p>
      <w:pPr>
        <w:pStyle w:val="Normal"/>
        <w:jc w:val="both"/>
        <w:rPr>
          <w:sz w:val="22"/>
          <w:szCs w:val="22"/>
        </w:rPr>
      </w:pPr>
      <w:r>
        <w:rPr>
          <w:sz w:val="22"/>
          <w:szCs w:val="22"/>
        </w:rPr>
        <w:t>Ing. Francesco Petracchini Direttore CNR-IIA</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Dott.ssa Maria Adamo - Sede secondaria IIA di Rende (CS)</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Dr. Paolo Fazzini – Sede Istituzionale di Montelibretti (Roma)</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Ing. Paolo Mazzetti  - Responsabile Sede secondaria IIA di Sesto Fiorentino (FI)</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Ing. Mattia Santoro- Sede secondaria IIA di Sesto Fiorentino (FI)</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Dott.ssa Cristina Tarantino - Sede secondaria IIA di Rende (CS)</w:t>
      </w:r>
    </w:p>
    <w:p>
      <w:pPr>
        <w:pStyle w:val="Normal"/>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76"/>
        <w:jc w:val="both"/>
        <w:rPr>
          <w:color w:val="auto"/>
          <w:sz w:val="22"/>
          <w:szCs w:val="22"/>
        </w:rPr>
      </w:pPr>
      <w:r>
        <w:rPr>
          <w:color w:val="auto"/>
          <w:sz w:val="22"/>
          <w:szCs w:val="22"/>
        </w:rPr>
        <w:t>Ing. Marco Torre– Sede Istituzionale di Montelibretti (Roma)</w:t>
      </w:r>
    </w:p>
    <w:p>
      <w:pPr>
        <w:pStyle w:val="Normal"/>
        <w:spacing w:before="240" w:after="0"/>
        <w:ind w:left="6372" w:firstLine="708"/>
        <w:jc w:val="both"/>
        <w:rPr>
          <w:sz w:val="22"/>
          <w:szCs w:val="22"/>
        </w:rPr>
      </w:pPr>
      <w:r>
        <w:rPr>
          <w:sz w:val="22"/>
          <w:szCs w:val="22"/>
        </w:rPr>
      </w:r>
    </w:p>
    <w:p>
      <w:pPr>
        <w:pStyle w:val="Normal"/>
        <w:spacing w:before="240" w:after="0"/>
        <w:ind w:left="6372" w:firstLine="708"/>
        <w:jc w:val="both"/>
        <w:rPr>
          <w:sz w:val="22"/>
          <w:szCs w:val="22"/>
        </w:rPr>
      </w:pPr>
      <w:r>
        <w:rPr>
          <w:sz w:val="22"/>
          <w:szCs w:val="22"/>
        </w:rPr>
        <w:t xml:space="preserve">IL DIRETTORE </w:t>
      </w:r>
    </w:p>
    <w:p>
      <w:pPr>
        <w:pStyle w:val="ListParagraph"/>
        <w:spacing w:before="240" w:after="0"/>
        <w:ind w:left="7080" w:hanging="0"/>
        <w:jc w:val="both"/>
        <w:rPr>
          <w:rFonts w:cs="Times New Roman"/>
          <w:sz w:val="22"/>
          <w:szCs w:val="22"/>
        </w:rPr>
      </w:pPr>
      <w:r>
        <w:rPr>
          <w:rFonts w:cs="Times New Roman"/>
          <w:sz w:val="22"/>
          <w:szCs w:val="22"/>
        </w:rPr>
        <w:t>Dr. Francesco Petracchini</w:t>
      </w:r>
    </w:p>
    <w:sectPr>
      <w:headerReference w:type="default" r:id="rId2"/>
      <w:headerReference w:type="first" r:id="rId3"/>
      <w:footerReference w:type="default" r:id="rId4"/>
      <w:footerReference w:type="first" r:id="rId5"/>
      <w:type w:val="nextPage"/>
      <w:pgSz w:w="11906" w:h="16838"/>
      <w:pgMar w:left="1134" w:right="1134" w:header="851" w:top="2835" w:footer="1056" w:bottom="1701" w:gutter="0"/>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Helvetica Neue">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pBdr>
        <w:top w:val="single" w:sz="4" w:space="0" w:color="000000"/>
      </w:pBdr>
      <w:tabs>
        <w:tab w:val="clear" w:pos="9638"/>
        <w:tab w:val="center" w:pos="4819" w:leader="none"/>
        <w:tab w:val="right" w:pos="9612" w:leader="none"/>
      </w:tabs>
      <w:jc w:val="right"/>
      <w:rPr/>
    </w:pPr>
    <w:r>
      <w:rPr>
        <w:rFonts w:eastAsia="Arial" w:cs="Arial" w:ascii="Arial" w:hAnsi="Arial"/>
        <w:color w:val="003366"/>
        <w:sz w:val="13"/>
        <w:szCs w:val="13"/>
        <w:u w:val="none" w:color="003366"/>
      </w:rPr>
      <w:fldChar w:fldCharType="begin"/>
    </w:r>
    <w:r>
      <w:rPr>
        <w:sz w:val="13"/>
        <w:u w:val="none" w:color="003366"/>
        <w:szCs w:val="13"/>
        <w:rFonts w:eastAsia="Arial" w:cs="Arial" w:ascii="Arial" w:hAnsi="Arial"/>
        <w:color w:val="003366"/>
      </w:rPr>
      <w:instrText> PAGE </w:instrText>
    </w:r>
    <w:r>
      <w:rPr>
        <w:sz w:val="13"/>
        <w:u w:val="none" w:color="003366"/>
        <w:szCs w:val="13"/>
        <w:rFonts w:eastAsia="Arial" w:cs="Arial" w:ascii="Arial" w:hAnsi="Arial"/>
        <w:color w:val="003366"/>
      </w:rPr>
      <w:fldChar w:fldCharType="separate"/>
    </w:r>
    <w:r>
      <w:rPr>
        <w:sz w:val="13"/>
        <w:u w:val="none" w:color="003366"/>
        <w:szCs w:val="13"/>
        <w:rFonts w:eastAsia="Arial" w:cs="Arial" w:ascii="Arial" w:hAnsi="Arial"/>
        <w:color w:val="003366"/>
      </w:rPr>
      <w:t>2</w:t>
    </w:r>
    <w:r>
      <w:rPr>
        <w:sz w:val="13"/>
        <w:u w:val="none" w:color="003366"/>
        <w:szCs w:val="13"/>
        <w:rFonts w:eastAsia="Arial" w:cs="Arial" w:ascii="Arial" w:hAnsi="Arial"/>
        <w:color w:val="003366"/>
      </w:rPr>
      <w:fldChar w:fldCharType="end"/>
    </w:r>
    <w:r>
      <w:rPr>
        <w:rFonts w:ascii="Arial" w:hAnsi="Arial"/>
        <w:color w:val="003366"/>
        <w:sz w:val="13"/>
        <w:szCs w:val="13"/>
        <w:u w:val="none" w:color="003366"/>
      </w:rPr>
      <w:t>/</w:t>
    </w:r>
    <w:r>
      <w:rPr>
        <w:rFonts w:eastAsia="Arial" w:cs="Arial" w:ascii="Arial" w:hAnsi="Arial"/>
        <w:color w:val="003366"/>
        <w:sz w:val="13"/>
        <w:szCs w:val="13"/>
        <w:u w:val="none" w:color="003366"/>
      </w:rPr>
      <w:fldChar w:fldCharType="begin"/>
    </w:r>
    <w:r>
      <w:rPr>
        <w:sz w:val="13"/>
        <w:u w:val="none" w:color="003366"/>
        <w:szCs w:val="13"/>
        <w:rFonts w:eastAsia="Arial" w:cs="Arial" w:ascii="Arial" w:hAnsi="Arial"/>
        <w:color w:val="003366"/>
      </w:rPr>
      <w:instrText> NUMPAGES </w:instrText>
    </w:r>
    <w:r>
      <w:rPr>
        <w:sz w:val="13"/>
        <w:u w:val="none" w:color="003366"/>
        <w:szCs w:val="13"/>
        <w:rFonts w:eastAsia="Arial" w:cs="Arial" w:ascii="Arial" w:hAnsi="Arial"/>
        <w:color w:val="003366"/>
      </w:rPr>
      <w:fldChar w:fldCharType="separate"/>
    </w:r>
    <w:r>
      <w:rPr>
        <w:sz w:val="13"/>
        <w:u w:val="none" w:color="003366"/>
        <w:szCs w:val="13"/>
        <w:rFonts w:eastAsia="Arial" w:cs="Arial" w:ascii="Arial" w:hAnsi="Arial"/>
        <w:color w:val="003366"/>
      </w:rPr>
      <w:t>2</w:t>
    </w:r>
    <w:r>
      <w:rPr>
        <w:sz w:val="13"/>
        <w:u w:val="none" w:color="003366"/>
        <w:szCs w:val="13"/>
        <w:rFonts w:eastAsia="Arial" w:cs="Arial" w:ascii="Arial" w:hAnsi="Arial"/>
        <w:color w:val="00336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tabs>
        <w:tab w:val="clear" w:pos="9638"/>
        <w:tab w:val="center" w:pos="4819" w:leader="none"/>
        <w:tab w:val="right" w:pos="9612" w:leader="none"/>
      </w:tabs>
      <w:jc w:val="right"/>
      <w:rPr/>
    </w:pPr>
    <w:r>
      <w:rPr>
        <w:rFonts w:ascii="Arial" w:hAnsi="Arial"/>
        <w:color w:val="003366"/>
        <w:sz w:val="13"/>
        <w:szCs w:val="13"/>
        <w:u w:val="none" w:color="003366"/>
      </w:rPr>
      <w:t xml:space="preserve"> </w:t>
    </w:r>
    <w:r>
      <w:rPr>
        <w:rFonts w:eastAsia="Arial" w:cs="Arial" w:ascii="Arial" w:hAnsi="Arial"/>
        <w:color w:val="003366"/>
        <w:sz w:val="13"/>
        <w:szCs w:val="13"/>
        <w:u w:val="none" w:color="003366"/>
      </w:rPr>
      <w:fldChar w:fldCharType="begin"/>
    </w:r>
    <w:r>
      <w:rPr>
        <w:sz w:val="13"/>
        <w:u w:val="none" w:color="003366"/>
        <w:szCs w:val="13"/>
        <w:rFonts w:eastAsia="Arial" w:cs="Arial" w:ascii="Arial" w:hAnsi="Arial"/>
        <w:color w:val="003366"/>
      </w:rPr>
      <w:instrText> PAGE </w:instrText>
    </w:r>
    <w:r>
      <w:rPr>
        <w:sz w:val="13"/>
        <w:u w:val="none" w:color="003366"/>
        <w:szCs w:val="13"/>
        <w:rFonts w:eastAsia="Arial" w:cs="Arial" w:ascii="Arial" w:hAnsi="Arial"/>
        <w:color w:val="003366"/>
      </w:rPr>
      <w:fldChar w:fldCharType="separate"/>
    </w:r>
    <w:r>
      <w:rPr>
        <w:sz w:val="13"/>
        <w:u w:val="none" w:color="003366"/>
        <w:szCs w:val="13"/>
        <w:rFonts w:eastAsia="Arial" w:cs="Arial" w:ascii="Arial" w:hAnsi="Arial"/>
        <w:color w:val="003366"/>
      </w:rPr>
      <w:t>1</w:t>
    </w:r>
    <w:r>
      <w:rPr>
        <w:sz w:val="13"/>
        <w:u w:val="none" w:color="003366"/>
        <w:szCs w:val="13"/>
        <w:rFonts w:eastAsia="Arial" w:cs="Arial" w:ascii="Arial" w:hAnsi="Arial"/>
        <w:color w:val="003366"/>
      </w:rPr>
      <w:fldChar w:fldCharType="end"/>
    </w:r>
    <w:r>
      <w:rPr>
        <w:rFonts w:ascii="Arial" w:hAnsi="Arial"/>
        <w:color w:val="003366"/>
        <w:sz w:val="13"/>
        <w:szCs w:val="13"/>
        <w:u w:val="none" w:color="003366"/>
      </w:rPr>
      <w:t>/</w:t>
    </w:r>
    <w:r>
      <w:rPr>
        <w:rFonts w:eastAsia="Arial" w:cs="Arial" w:ascii="Arial" w:hAnsi="Arial"/>
        <w:color w:val="003366"/>
        <w:sz w:val="13"/>
        <w:szCs w:val="13"/>
        <w:u w:val="none" w:color="003366"/>
      </w:rPr>
      <w:fldChar w:fldCharType="begin"/>
    </w:r>
    <w:r>
      <w:rPr>
        <w:sz w:val="13"/>
        <w:u w:val="none" w:color="003366"/>
        <w:szCs w:val="13"/>
        <w:rFonts w:eastAsia="Arial" w:cs="Arial" w:ascii="Arial" w:hAnsi="Arial"/>
        <w:color w:val="003366"/>
      </w:rPr>
      <w:instrText> NUMPAGES </w:instrText>
    </w:r>
    <w:r>
      <w:rPr>
        <w:sz w:val="13"/>
        <w:u w:val="none" w:color="003366"/>
        <w:szCs w:val="13"/>
        <w:rFonts w:eastAsia="Arial" w:cs="Arial" w:ascii="Arial" w:hAnsi="Arial"/>
        <w:color w:val="003366"/>
      </w:rPr>
      <w:fldChar w:fldCharType="separate"/>
    </w:r>
    <w:r>
      <w:rPr>
        <w:sz w:val="13"/>
        <w:u w:val="none" w:color="003366"/>
        <w:szCs w:val="13"/>
        <w:rFonts w:eastAsia="Arial" w:cs="Arial" w:ascii="Arial" w:hAnsi="Arial"/>
        <w:color w:val="003366"/>
      </w:rPr>
      <w:t>2</w:t>
    </w:r>
    <w:r>
      <w:rPr>
        <w:sz w:val="13"/>
        <w:u w:val="none" w:color="003366"/>
        <w:szCs w:val="13"/>
        <w:rFonts w:eastAsia="Arial" w:cs="Arial" w:ascii="Arial" w:hAnsi="Arial"/>
        <w:color w:val="003366"/>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9638"/>
        <w:tab w:val="center" w:pos="4819" w:leader="none"/>
        <w:tab w:val="right" w:pos="9612" w:leader="none"/>
      </w:tabs>
      <w:rPr/>
    </w:pPr>
    <w:r>
      <w:rPr/>
      <mc:AlternateContent>
        <mc:Choice Requires="wps">
          <w:drawing>
            <wp:anchor behindDoc="1" distT="0" distB="0" distL="0" distR="0" simplePos="0" locked="0" layoutInCell="1" allowOverlap="1" relativeHeight="2" wp14:anchorId="5867EE13">
              <wp:simplePos x="0" y="0"/>
              <wp:positionH relativeFrom="page">
                <wp:posOffset>720090</wp:posOffset>
              </wp:positionH>
              <wp:positionV relativeFrom="page">
                <wp:posOffset>9915525</wp:posOffset>
              </wp:positionV>
              <wp:extent cx="2623820" cy="328930"/>
              <wp:effectExtent l="0" t="0" r="0" b="0"/>
              <wp:wrapNone/>
              <wp:docPr id="1" name="officeArt object" descr="officeArt object"/>
              <a:graphic xmlns:a="http://schemas.openxmlformats.org/drawingml/2006/main">
                <a:graphicData uri="http://schemas.microsoft.com/office/word/2010/wordprocessingShape">
                  <wps:wsp>
                    <wps:cNvSpPr/>
                    <wps:spPr>
                      <a:xfrm>
                        <a:off x="0" y="0"/>
                        <a:ext cx="2623320" cy="328320"/>
                      </a:xfrm>
                      <a:prstGeom prst="rect">
                        <a:avLst/>
                      </a:prstGeom>
                      <a:noFill/>
                      <a:ln w="12600">
                        <a:noFill/>
                      </a:ln>
                    </wps:spPr>
                    <wps:style>
                      <a:lnRef idx="0"/>
                      <a:fillRef idx="0"/>
                      <a:effectRef idx="0"/>
                      <a:fontRef idx="minor"/>
                    </wps:style>
                    <wps:txbx>
                      <w:txbxContent>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Via Salaria Km. 29,300 – 00015 Monterotondo, (RM), Italia</w:t>
                          </w:r>
                        </w:p>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Tel.: 06.90672803 – Fax +39 06.90672660</w:t>
                          </w:r>
                        </w:p>
                        <w:p>
                          <w:pPr>
                            <w:pStyle w:val="Footer"/>
                            <w:rPr/>
                          </w:pPr>
                          <w:r>
                            <w:rPr>
                              <w:rFonts w:ascii="Arial" w:hAnsi="Arial"/>
                              <w:color w:val="003366"/>
                              <w:sz w:val="15"/>
                              <w:szCs w:val="15"/>
                              <w:u w:val="none" w:color="003366"/>
                            </w:rPr>
                            <w:t>E-mail: direzione@iia.cnr.it</w:t>
                          </w:r>
                        </w:p>
                      </w:txbxContent>
                    </wps:txbx>
                    <wps:bodyPr lIns="0" rIns="0" tIns="0" bIns="0">
                      <a:noAutofit/>
                    </wps:bodyPr>
                  </wps:wsp>
                </a:graphicData>
              </a:graphic>
            </wp:anchor>
          </w:drawing>
        </mc:Choice>
        <mc:Fallback>
          <w:pict>
            <v:rect id="shape_0" ID="officeArt object" stroked="f" style="position:absolute;margin-left:56.7pt;margin-top:780.75pt;width:206.5pt;height:25.8pt;mso-position-horizontal-relative:page;mso-position-vertical-relative:page" wp14:anchorId="5867EE13">
              <w10:wrap type="square"/>
              <v:fill o:detectmouseclick="t" on="false"/>
              <v:stroke color="#3465a4" weight="12600" joinstyle="miter" endcap="flat"/>
              <v:textbox>
                <w:txbxContent>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Via Salaria Km. 29,300 – 00015 Monterotondo, (RM), Italia</w:t>
                    </w:r>
                  </w:p>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Tel.: 06.90672803 – Fax +39 06.90672660</w:t>
                    </w:r>
                  </w:p>
                  <w:p>
                    <w:pPr>
                      <w:pStyle w:val="Footer"/>
                      <w:rPr/>
                    </w:pPr>
                    <w:r>
                      <w:rPr>
                        <w:rFonts w:ascii="Arial" w:hAnsi="Arial"/>
                        <w:color w:val="003366"/>
                        <w:sz w:val="15"/>
                        <w:szCs w:val="15"/>
                        <w:u w:val="none" w:color="003366"/>
                      </w:rPr>
                      <w:t>E-mail: direzione@iia.cnr.it</w:t>
                    </w:r>
                  </w:p>
                </w:txbxContent>
              </v:textbox>
            </v:rect>
          </w:pict>
        </mc:Fallback>
      </mc:AlternateContent>
      <w:drawing>
        <wp:inline distT="0" distB="0" distL="0" distR="0">
          <wp:extent cx="6116955" cy="1061720"/>
          <wp:effectExtent l="0" t="0" r="0" b="0"/>
          <wp:docPr id="3" name="officeArt object" descr="carta_intestata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fficeArt object" descr="carta_intestata_12.png"/>
                  <pic:cNvPicPr>
                    <a:picLocks noChangeAspect="1" noChangeArrowheads="1"/>
                  </pic:cNvPicPr>
                </pic:nvPicPr>
                <pic:blipFill>
                  <a:blip r:embed="rId1"/>
                  <a:stretch>
                    <a:fillRect/>
                  </a:stretch>
                </pic:blipFill>
                <pic:spPr bwMode="auto">
                  <a:xfrm>
                    <a:off x="0" y="0"/>
                    <a:ext cx="6116955" cy="1061720"/>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9638"/>
        <w:tab w:val="center" w:pos="4819" w:leader="none"/>
        <w:tab w:val="right" w:pos="9612" w:leader="none"/>
      </w:tabs>
      <w:rPr/>
    </w:pPr>
    <w:r>
      <w:rPr/>
      <mc:AlternateContent>
        <mc:Choice Requires="wps">
          <w:drawing>
            <wp:anchor behindDoc="1" distT="0" distB="0" distL="0" distR="0" simplePos="0" locked="0" layoutInCell="1" allowOverlap="1" relativeHeight="3" wp14:anchorId="342CF854">
              <wp:simplePos x="0" y="0"/>
              <wp:positionH relativeFrom="page">
                <wp:posOffset>720090</wp:posOffset>
              </wp:positionH>
              <wp:positionV relativeFrom="page">
                <wp:posOffset>9937115</wp:posOffset>
              </wp:positionV>
              <wp:extent cx="2623820" cy="328930"/>
              <wp:effectExtent l="0" t="0" r="0" b="0"/>
              <wp:wrapNone/>
              <wp:docPr id="4" name="officeArt object" descr="officeArt object"/>
              <a:graphic xmlns:a="http://schemas.openxmlformats.org/drawingml/2006/main">
                <a:graphicData uri="http://schemas.microsoft.com/office/word/2010/wordprocessingShape">
                  <wps:wsp>
                    <wps:cNvSpPr/>
                    <wps:spPr>
                      <a:xfrm>
                        <a:off x="0" y="0"/>
                        <a:ext cx="2623320" cy="328320"/>
                      </a:xfrm>
                      <a:prstGeom prst="rect">
                        <a:avLst/>
                      </a:prstGeom>
                      <a:noFill/>
                      <a:ln w="12600">
                        <a:noFill/>
                      </a:ln>
                    </wps:spPr>
                    <wps:style>
                      <a:lnRef idx="0"/>
                      <a:fillRef idx="0"/>
                      <a:effectRef idx="0"/>
                      <a:fontRef idx="minor"/>
                    </wps:style>
                    <wps:txbx>
                      <w:txbxContent>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Via Salaria Km. 29,300 – 00015 Monterotondo, (RM), Italia</w:t>
                          </w:r>
                        </w:p>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Tel.: 06.90672803 – Fax +39 06.90672660</w:t>
                          </w:r>
                        </w:p>
                        <w:p>
                          <w:pPr>
                            <w:pStyle w:val="Footer"/>
                            <w:rPr/>
                          </w:pPr>
                          <w:r>
                            <w:rPr>
                              <w:rFonts w:ascii="Arial" w:hAnsi="Arial"/>
                              <w:color w:val="003366"/>
                              <w:sz w:val="15"/>
                              <w:szCs w:val="15"/>
                              <w:u w:val="none" w:color="003366"/>
                            </w:rPr>
                            <w:t>E-mail: direzione@iia.cnr.it</w:t>
                          </w:r>
                        </w:p>
                      </w:txbxContent>
                    </wps:txbx>
                    <wps:bodyPr lIns="0" rIns="0" tIns="0" bIns="0">
                      <a:noAutofit/>
                    </wps:bodyPr>
                  </wps:wsp>
                </a:graphicData>
              </a:graphic>
            </wp:anchor>
          </w:drawing>
        </mc:Choice>
        <mc:Fallback>
          <w:pict>
            <v:rect id="shape_0" ID="officeArt object" stroked="f" style="position:absolute;margin-left:56.7pt;margin-top:782.45pt;width:206.5pt;height:25.8pt;mso-position-horizontal-relative:page;mso-position-vertical-relative:page" wp14:anchorId="342CF854">
              <w10:wrap type="square"/>
              <v:fill o:detectmouseclick="t" on="false"/>
              <v:stroke color="#3465a4" weight="12600" joinstyle="miter" endcap="flat"/>
              <v:textbox>
                <w:txbxContent>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Via Salaria Km. 29,300 – 00015 Monterotondo, (RM), Italia</w:t>
                    </w:r>
                  </w:p>
                  <w:p>
                    <w:pPr>
                      <w:pStyle w:val="Footer"/>
                      <w:rPr>
                        <w:rFonts w:ascii="Arial" w:hAnsi="Arial" w:eastAsia="Arial" w:cs="Arial"/>
                        <w:color w:val="003366"/>
                        <w:sz w:val="15"/>
                        <w:szCs w:val="15"/>
                        <w:u w:val="none" w:color="003366"/>
                      </w:rPr>
                    </w:pPr>
                    <w:r>
                      <w:rPr>
                        <w:rFonts w:ascii="Arial" w:hAnsi="Arial"/>
                        <w:color w:val="003366"/>
                        <w:sz w:val="15"/>
                        <w:szCs w:val="15"/>
                        <w:u w:val="none" w:color="003366"/>
                      </w:rPr>
                      <w:t>Tel.: 06.90672803 – Fax +39 06.90672660</w:t>
                    </w:r>
                  </w:p>
                  <w:p>
                    <w:pPr>
                      <w:pStyle w:val="Footer"/>
                      <w:rPr/>
                    </w:pPr>
                    <w:r>
                      <w:rPr>
                        <w:rFonts w:ascii="Arial" w:hAnsi="Arial"/>
                        <w:color w:val="003366"/>
                        <w:sz w:val="15"/>
                        <w:szCs w:val="15"/>
                        <w:u w:val="none" w:color="003366"/>
                      </w:rPr>
                      <w:t>E-mail: direzione@iia.cnr.it</w:t>
                    </w:r>
                  </w:p>
                </w:txbxContent>
              </v:textbox>
            </v:rect>
          </w:pict>
        </mc:Fallback>
      </mc:AlternateContent>
      <mc:AlternateContent>
        <mc:Choice Requires="wps">
          <w:drawing>
            <wp:anchor behindDoc="1" distT="0" distB="0" distL="0" distR="0" simplePos="0" locked="0" layoutInCell="1" allowOverlap="1" relativeHeight="4" wp14:anchorId="6BA40522">
              <wp:simplePos x="0" y="0"/>
              <wp:positionH relativeFrom="page">
                <wp:posOffset>720090</wp:posOffset>
              </wp:positionH>
              <wp:positionV relativeFrom="page">
                <wp:posOffset>9781540</wp:posOffset>
              </wp:positionV>
              <wp:extent cx="6109970" cy="635"/>
              <wp:effectExtent l="0" t="0" r="0" b="0"/>
              <wp:wrapNone/>
              <wp:docPr id="6" name="officeArt object" descr="officeArt object"/>
              <a:graphic xmlns:a="http://schemas.openxmlformats.org/drawingml/2006/main">
                <a:graphicData uri="http://schemas.microsoft.com/office/word/2010/wordprocessingShape">
                  <wps:wsp>
                    <wps:cNvSpPr/>
                    <wps:spPr>
                      <a:xfrm>
                        <a:off x="0" y="0"/>
                        <a:ext cx="6109200" cy="0"/>
                      </a:xfrm>
                      <a:prstGeom prst="line">
                        <a:avLst/>
                      </a:prstGeom>
                      <a:ln w="9360">
                        <a:solidFill>
                          <a:srgbClr val="003366"/>
                        </a:solidFill>
                        <a:round/>
                      </a:ln>
                    </wps:spPr>
                    <wps:style>
                      <a:lnRef idx="0"/>
                      <a:fillRef idx="0"/>
                      <a:effectRef idx="0"/>
                      <a:fontRef idx="minor"/>
                    </wps:style>
                    <wps:bodyPr/>
                  </wps:wsp>
                </a:graphicData>
              </a:graphic>
            </wp:anchor>
          </w:drawing>
        </mc:Choice>
        <mc:Fallback>
          <w:pict>
            <v:line id="shape_0" from="56.7pt,770.2pt" to="537.7pt,770.2pt" ID="officeArt object" stroked="t" style="position:absolute;mso-position-horizontal-relative:page;mso-position-vertical-relative:page" wp14:anchorId="6BA40522">
              <v:stroke color="#003366" weight="9360" joinstyle="round" endcap="flat"/>
              <v:fill o:detectmouseclick="t" on="false"/>
            </v:line>
          </w:pict>
        </mc:Fallback>
      </mc:AlternateContent>
      <w:drawing>
        <wp:inline distT="0" distB="0" distL="0" distR="0">
          <wp:extent cx="6108700" cy="1028700"/>
          <wp:effectExtent l="0" t="0" r="0" b="0"/>
          <wp:docPr id="7" name="Image1" descr="carta_intestata_direzione_ita_19-10-20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carta_intestata_direzione_ita_19-10-2010.png"/>
                  <pic:cNvPicPr>
                    <a:picLocks noChangeAspect="1" noChangeArrowheads="1"/>
                  </pic:cNvPicPr>
                </pic:nvPicPr>
                <pic:blipFill>
                  <a:blip r:embed="rId1"/>
                  <a:stretch>
                    <a:fillRect/>
                  </a:stretch>
                </pic:blipFill>
                <pic:spPr bwMode="auto">
                  <a:xfrm>
                    <a:off x="0" y="0"/>
                    <a:ext cx="6108700" cy="1028700"/>
                  </a:xfrm>
                  <a:prstGeom prst="rect">
                    <a:avLst/>
                  </a:prstGeom>
                </pic:spPr>
              </pic:pic>
            </a:graphicData>
          </a:graphic>
        </wp:inline>
      </w:drawing>
    </w:r>
  </w:p>
</w:hdr>
</file>

<file path=word/settings.xml><?xml version="1.0" encoding="utf-8"?>
<w:settings xmlns:w="http://schemas.openxmlformats.org/wordprocessingml/2006/main">
  <w:zoom w:percent="14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it-IT" w:eastAsia="it-I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pBdr/>
      <w:bidi w:val="0"/>
      <w:spacing w:before="0" w:after="0"/>
      <w:jc w:val="left"/>
    </w:pPr>
    <w:rPr>
      <w:rFonts w:eastAsia="Times New Roman" w:ascii="Times New Roman" w:hAnsi="Times New Roman" w:cs="Times New Roman"/>
      <w:color w:val="000000"/>
      <w:kern w:val="0"/>
      <w:sz w:val="24"/>
      <w:szCs w:val="24"/>
      <w:u w:val="none" w:color="000000"/>
      <w:lang w:val="it-IT" w:eastAsia="it-IT" w:bidi="ar-SA"/>
    </w:rPr>
  </w:style>
  <w:style w:type="character" w:styleId="DefaultParagraphFont" w:default="1">
    <w:name w:val="Default Paragraph Font"/>
    <w:uiPriority w:val="1"/>
    <w:semiHidden/>
    <w:unhideWhenUsed/>
    <w:qFormat/>
    <w:rPr/>
  </w:style>
  <w:style w:type="character" w:styleId="InternetLink">
    <w:name w:val="Hyperlink"/>
    <w:rPr>
      <w:u w:val="single"/>
    </w:rPr>
  </w:style>
  <w:style w:type="character" w:styleId="TestofumettoCarattere" w:customStyle="1">
    <w:name w:val="Testo fumetto Carattere"/>
    <w:basedOn w:val="DefaultParagraphFont"/>
    <w:link w:val="Testofumetto"/>
    <w:uiPriority w:val="99"/>
    <w:semiHidden/>
    <w:qFormat/>
    <w:rsid w:val="00c8099e"/>
    <w:rPr>
      <w:rFonts w:eastAsia="Times New Roman"/>
      <w:color w:val="000000"/>
      <w:sz w:val="18"/>
      <w:szCs w:val="18"/>
      <w:u w:val="none" w:color="000000"/>
    </w:rPr>
  </w:style>
  <w:style w:type="character" w:styleId="PreformattatoHTMLCarattere" w:customStyle="1">
    <w:name w:val="Preformattato HTML Carattere"/>
    <w:basedOn w:val="DefaultParagraphFont"/>
    <w:link w:val="PreformattatoHTML"/>
    <w:uiPriority w:val="99"/>
    <w:semiHidden/>
    <w:qFormat/>
    <w:rsid w:val="00104993"/>
    <w:rPr>
      <w:rFonts w:ascii="Courier New" w:hAnsi="Courier New" w:eastAsia="Times New Roman"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pPr>
      <w:widowControl/>
      <w:pBdr/>
      <w:tabs>
        <w:tab w:val="clear" w:pos="708"/>
        <w:tab w:val="center" w:pos="4819" w:leader="none"/>
        <w:tab w:val="right" w:pos="9638" w:leader="none"/>
      </w:tabs>
      <w:bidi w:val="0"/>
      <w:spacing w:before="0" w:after="0"/>
      <w:jc w:val="left"/>
      <w:outlineLvl w:val="0"/>
    </w:pPr>
    <w:rPr>
      <w:rFonts w:cs="Arial Unicode MS" w:ascii="Times New Roman" w:hAnsi="Times New Roman" w:eastAsia="Arial Unicode MS"/>
      <w:color w:val="000000"/>
      <w:kern w:val="0"/>
      <w:sz w:val="24"/>
      <w:szCs w:val="24"/>
      <w:u w:val="none" w:color="000000"/>
      <w:lang w:val="it-IT" w:eastAsia="it-IT" w:bidi="ar-SA"/>
      <w14:textOutline w14:w="12700" w14:cap="flat" w14:cmpd="sng" w14:algn="ctr">
        <w14:noFill/>
        <w14:prstDash w14:val="solid"/>
        <w14:miter w14:lim="400000"/>
      </w14:textOutline>
    </w:rPr>
  </w:style>
  <w:style w:type="paragraph" w:styleId="Footer">
    <w:name w:val="Footer"/>
    <w:pPr>
      <w:widowControl/>
      <w:pBdr/>
      <w:tabs>
        <w:tab w:val="clear" w:pos="708"/>
        <w:tab w:val="center" w:pos="4819" w:leader="none"/>
        <w:tab w:val="right" w:pos="9638" w:leader="none"/>
      </w:tabs>
      <w:bidi w:val="0"/>
      <w:spacing w:before="0" w:after="0"/>
      <w:jc w:val="left"/>
    </w:pPr>
    <w:rPr>
      <w:rFonts w:cs="Arial Unicode MS" w:ascii="Times New Roman" w:hAnsi="Times New Roman" w:eastAsia="Arial Unicode MS"/>
      <w:color w:val="000000"/>
      <w:kern w:val="0"/>
      <w:sz w:val="24"/>
      <w:szCs w:val="24"/>
      <w:u w:val="none" w:color="000000"/>
      <w:lang w:val="it-IT" w:eastAsia="it-IT" w:bidi="ar-SA"/>
    </w:rPr>
  </w:style>
  <w:style w:type="paragraph" w:styleId="ListParagraph">
    <w:name w:val="List Paragraph"/>
    <w:qFormat/>
    <w:pPr>
      <w:widowControl/>
      <w:pBdr/>
      <w:bidi w:val="0"/>
      <w:spacing w:before="0" w:after="0"/>
      <w:ind w:left="720" w:hanging="0"/>
      <w:jc w:val="left"/>
    </w:pPr>
    <w:rPr>
      <w:rFonts w:cs="Arial Unicode MS" w:ascii="Times New Roman" w:hAnsi="Times New Roman" w:eastAsia="Arial Unicode MS"/>
      <w:color w:val="000000"/>
      <w:kern w:val="0"/>
      <w:sz w:val="24"/>
      <w:szCs w:val="24"/>
      <w:u w:val="none" w:color="000000"/>
      <w:lang w:val="it-IT" w:eastAsia="it-IT" w:bidi="ar-SA"/>
    </w:rPr>
  </w:style>
  <w:style w:type="paragraph" w:styleId="DidefaultA" w:customStyle="1">
    <w:name w:val="Di default A"/>
    <w:qFormat/>
    <w:pPr>
      <w:widowControl/>
      <w:pBdr/>
      <w:bidi w:val="0"/>
      <w:spacing w:before="0" w:after="0"/>
      <w:jc w:val="left"/>
    </w:pPr>
    <w:rPr>
      <w:rFonts w:ascii="Helvetica Neue" w:hAnsi="Helvetica Neue" w:cs="Arial Unicode MS" w:eastAsia="Arial Unicode MS"/>
      <w:color w:val="000000"/>
      <w:kern w:val="0"/>
      <w:sz w:val="22"/>
      <w:szCs w:val="22"/>
      <w:u w:val="none" w:color="000000"/>
      <w:lang w:val="it-IT" w:eastAsia="it-IT" w:bidi="ar-SA"/>
      <w14:textOutline w14:w="12700" w14:cap="flat" w14:cmpd="sng" w14:algn="ctr">
        <w14:noFill/>
        <w14:prstDash w14:val="solid"/>
        <w14:miter w14:lim="400000"/>
      </w14:textOutline>
    </w:rPr>
  </w:style>
  <w:style w:type="paragraph" w:styleId="BalloonText">
    <w:name w:val="Balloon Text"/>
    <w:basedOn w:val="Normal"/>
    <w:link w:val="TestofumettoCarattere"/>
    <w:uiPriority w:val="99"/>
    <w:semiHidden/>
    <w:unhideWhenUsed/>
    <w:qFormat/>
    <w:rsid w:val="00c8099e"/>
    <w:pPr/>
    <w:rPr>
      <w:sz w:val="18"/>
      <w:szCs w:val="18"/>
    </w:rPr>
  </w:style>
  <w:style w:type="paragraph" w:styleId="HTMLPreformatted">
    <w:name w:val="HTML Preformatted"/>
    <w:basedOn w:val="Normal"/>
    <w:link w:val="PreformattatoHTMLCarattere"/>
    <w:uiPriority w:val="99"/>
    <w:semiHidden/>
    <w:unhideWhenUsed/>
    <w:qFormat/>
    <w:rsid w:val="00104993"/>
    <w:pPr>
      <w:pBd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color w:val="auto"/>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numbering" w:styleId="Stileimportato1" w:customStyle="1">
    <w:name w:val="Stile importato 1"/>
    <w:qFormat/>
  </w:style>
  <w:style w:type="numbering" w:styleId="Puntielenco" w:customStyle="1">
    <w:name w:val="Punti elenco"/>
    <w:qFormat/>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Ind w:w="0" w:type="dxa"/>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2</Pages>
  <Words>868</Words>
  <Characters>5268</Characters>
  <CharactersWithSpaces>6126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2020-09-24T14:18:00Z</dcterms:created>
  <dc:creator>Laura</dc:creator>
  <dc:description/>
  <dc:language>it-IT</dc:language>
  <cp:lastModifiedBy>Francesco Petracchini</cp:lastModifiedBy>
  <dcterms:modified xsi:type="dcterms:W3CDTF">2020-09-24T14:18:00Z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