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Arbeitsverlauf – LLM-Coding × mpmify</w:t>
      </w:r>
    </w:p>
    <w:tbl>
      <w:tblPr>
        <w:tblStyle w:val="ListTable1Light"/>
        <w:tblW w:type="auto" w:w="0"/>
        <w:jc w:val="center"/>
        <w:tblLook w:firstColumn="1" w:firstRow="1" w:lastColumn="0" w:lastRow="0" w:noHBand="0" w:noVBand="1" w:val="04A0"/>
      </w:tblPr>
      <w:tblGrid>
        <w:gridCol w:w="363"/>
        <w:gridCol w:w="1270"/>
        <w:gridCol w:w="907"/>
        <w:gridCol w:w="1724"/>
        <w:gridCol w:w="4808"/>
      </w:tblGrid>
      <w:tr>
        <w:tc>
          <w:tcPr>
            <w:tcW w:type="dxa" w:w="1728"/>
          </w:tcPr>
          <w:p>
            <w:r>
              <w:rPr>
                <w:b/>
              </w:rPr>
              <w:t>Nr.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Datum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Modell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Modus und Umfang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Commits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1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18.2.2026</w:t>
            </w:r>
          </w:p>
        </w:tc>
        <w:tc>
          <w:tcPr>
            <w:tcW w:type="dxa" w:w="907"/>
          </w:tcPr>
          <w:p>
            <w:pPr>
              <w:spacing w:before="0" w:after="0"/>
            </w:pPr>
            <w:r>
              <w:t>GPT-5.3</w:t>
            </w:r>
          </w:p>
        </w:tc>
        <w:tc>
          <w:tcPr>
            <w:tcW w:type="dxa" w:w="1724"/>
          </w:tcPr>
          <w:p>
            <w:pPr>
              <w:spacing w:before="0" w:after="0"/>
            </w:pPr>
            <w:r>
              <w:t>dialogisch, ~38 min</w:t>
            </w: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Tempo-Fitting mit Berndt-Modell überarbeitet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7395d61, e5aa4aa, 44bf691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2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21.–22.2.2026</w:t>
            </w:r>
          </w:p>
        </w:tc>
        <w:tc>
          <w:tcPr>
            <w:tcW w:type="dxa" w:w="907"/>
          </w:tcPr>
          <w:p>
            <w:pPr>
              <w:spacing w:before="0" w:after="0"/>
            </w:pPr>
            <w:r>
              <w:t>GPT-5.3</w:t>
            </w:r>
          </w:p>
        </w:tc>
        <w:tc>
          <w:tcPr>
            <w:tcW w:type="dxa" w:w="1724"/>
          </w:tcPr>
          <w:p>
            <w:pPr>
              <w:spacing w:before="0" w:after="0"/>
            </w:pPr>
            <w:r>
              <w:t>dialogisch, ~30 min</w:t>
            </w: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Code-Qualität verbessert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07b6551, 87b8cc6, 0776043, e061f9d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3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27.3.2026</w:t>
            </w:r>
          </w:p>
        </w:tc>
        <w:tc>
          <w:tcPr>
            <w:tcW w:type="dxa" w:w="907"/>
          </w:tcPr>
          <w:p>
            <w:pPr>
              <w:spacing w:before="0" w:after="0"/>
            </w:pPr>
            <w:r>
              <w:t>GPT-5.4</w:t>
            </w:r>
          </w:p>
        </w:tc>
        <w:tc>
          <w:tcPr>
            <w:tcW w:type="dxa" w:w="1724"/>
          </w:tcPr>
          <w:p>
            <w:pPr>
              <w:spacing w:before="0" w:after="0"/>
            </w:pPr>
            <w:r>
              <w:t>dialogisch, ~21 min</w:t>
            </w: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Intensitätskurve längenbasiert untersucht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4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2.4.2026</w:t>
            </w:r>
          </w:p>
        </w:tc>
        <w:tc>
          <w:tcPr>
            <w:tcW w:type="dxa" w:w="907"/>
          </w:tcPr>
          <w:p>
            <w:pPr>
              <w:spacing w:before="0" w:after="0"/>
            </w:pPr>
            <w:r>
              <w:t>Opus 4.6</w:t>
            </w:r>
          </w:p>
        </w:tc>
        <w:tc>
          <w:tcPr>
            <w:tcW w:type="dxa" w:w="1724"/>
          </w:tcPr>
          <w:p>
            <w:pPr>
              <w:spacing w:before="0" w:after="0"/>
            </w:pPr>
            <w:r>
              <w:t>autonom, ~1 min</w:t>
            </w: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README erweitert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d16d645</w:t>
            </w:r>
          </w:p>
        </w:tc>
      </w:tr>
      <w:tr>
        <w:tc>
          <w:tcPr>
            <w:tcW w:type="dxa" w:w="363"/>
            <w:tcBorders>
              <w:top w:val="single" w:sz="4" w:space="0" w:color="666666"/>
            </w:tcBorders>
          </w:tcPr>
          <w:p>
            <w:pPr>
              <w:spacing w:before="0" w:after="0"/>
            </w:pPr>
            <w:r>
              <w:t>5</w:t>
            </w:r>
          </w:p>
        </w:tc>
        <w:tc>
          <w:tcPr>
            <w:tcW w:type="dxa" w:w="1270"/>
            <w:tcBorders>
              <w:top w:val="single" w:sz="4" w:space="0" w:color="666666"/>
            </w:tcBorders>
          </w:tcPr>
          <w:p>
            <w:pPr>
              <w:spacing w:before="0" w:after="0"/>
            </w:pPr>
            <w:r>
              <w:t>vor dem 17.2.2026</w:t>
            </w:r>
          </w:p>
        </w:tc>
        <w:tc>
          <w:tcPr>
            <w:tcW w:type="dxa" w:w="2631"/>
            <w:gridSpan w:val="2"/>
            <w:vMerge w:val="restart"/>
            <w:tcBorders>
              <w:top w:val="single" w:sz="4" w:space="0" w:color="666666"/>
            </w:tcBorders>
          </w:tcPr>
          <w:p>
            <w:pPr>
              <w:spacing w:before="0" w:after="0"/>
              <w:jc w:val="center"/>
            </w:pPr>
            <w:r/>
            <w:r>
              <w:rPr>
                <w:i/>
                <w:color w:val="808080"/>
                <w:sz w:val="16"/>
              </w:rPr>
              <w:t>15 Sitzungen</w:t>
              <w:br/>
              <w:t>(genauer Umfang unbekannt,</w:t>
              <w:br/>
              <w:t>Verlauf rekonstruiert</w:t>
              <w:br/>
              <w:t>aus Commits)</w:t>
            </w:r>
          </w:p>
        </w:tc>
        <w:tc>
          <w:tcPr>
            <w:tcW w:type="dxa" w:w="4808"/>
            <w:tcBorders>
              <w:top w:val="single" w:sz="4" w:space="0" w:color="666666"/>
            </w:tcBorders>
          </w:tcPr>
          <w:p>
            <w:pPr>
              <w:spacing w:before="0" w:after="0"/>
            </w:pPr>
            <w:r/>
            <w:r>
              <w:rPr>
                <w:sz w:val="18"/>
              </w:rPr>
              <w:t>Metadata-Transformer hinzugefügt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38875a0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6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vor dem 27.2.2026</w:t>
            </w:r>
          </w:p>
        </w:tc>
        <w:tc>
          <w:tcPr>
            <w:tcW w:type="dxa" w:w="2631"/>
            <w:gridSpan w:val="2"/>
            <w:vMerge/>
          </w:tcPr>
          <w:p>
            <w:pPr>
              <w:spacing w:before="0" w:after="0"/>
            </w:pP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Continue-Eigenschaft ergänzt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0777e67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7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vor dem 28.2.2026</w:t>
            </w:r>
          </w:p>
        </w:tc>
        <w:tc>
          <w:tcPr>
            <w:tcW w:type="dxa" w:w="2631"/>
            <w:gridSpan w:val="2"/>
            <w:vMerge/>
          </w:tcPr>
          <w:p>
            <w:pPr>
              <w:spacing w:before="0" w:after="0"/>
            </w:pP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Transformer-Registry eingeführt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71c5fd4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8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vor dem 21.3.2026</w:t>
            </w:r>
          </w:p>
        </w:tc>
        <w:tc>
          <w:tcPr>
            <w:tcW w:type="dxa" w:w="2631"/>
            <w:gridSpan w:val="2"/>
            <w:vMerge/>
          </w:tcPr>
          <w:p>
            <w:pPr>
              <w:spacing w:before="0" w:after="0"/>
            </w:pP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Tempo-Hilfsfunktionen ergänzt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716e399</w:t>
            </w:r>
          </w:p>
        </w:tc>
      </w:tr>
      <w:tr>
        <w:tc>
          <w:tcPr>
            <w:tcW w:type="dxa" w:w="363"/>
          </w:tcPr>
          <w:p>
            <w:pPr>
              <w:spacing w:before="0" w:after="0"/>
            </w:pPr>
            <w:r>
              <w:t>9</w:t>
            </w:r>
          </w:p>
        </w:tc>
        <w:tc>
          <w:tcPr>
            <w:tcW w:type="dxa" w:w="1270"/>
          </w:tcPr>
          <w:p>
            <w:pPr>
              <w:spacing w:before="0" w:after="0"/>
            </w:pPr>
            <w:r>
              <w:t>vor dem 2.4.2026</w:t>
            </w:r>
          </w:p>
        </w:tc>
        <w:tc>
          <w:tcPr>
            <w:tcW w:type="dxa" w:w="2631"/>
            <w:gridSpan w:val="2"/>
            <w:vMerge/>
          </w:tcPr>
          <w:p>
            <w:pPr>
              <w:spacing w:before="0" w:after="0"/>
            </w:pPr>
          </w:p>
        </w:tc>
        <w:tc>
          <w:tcPr>
            <w:tcW w:type="dxa" w:w="4808"/>
          </w:tcPr>
          <w:p>
            <w:pPr>
              <w:spacing w:before="0" w:after="0"/>
            </w:pPr>
            <w:r/>
            <w:r>
              <w:rPr>
                <w:sz w:val="18"/>
              </w:rPr>
              <w:t>getRange für Pedal-Transformer korrigiert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color w:val="808080"/>
                <w:sz w:val="14"/>
              </w:rPr>
              <w:t>689f1b8</w:t>
            </w:r>
          </w:p>
        </w:tc>
      </w:tr>
    </w:tbl>
    <w:p/>
    <w:p>
      <w:pPr>
        <w:jc w:val="center"/>
      </w:pPr>
      <w:r>
        <w:rPr>
          <w:color w:val="808080"/>
          <w:sz w:val="16"/>
        </w:rPr>
        <w:t>9 Einträge | 18.2.2026 – 2.4.2026 | Projekt: mpmify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Table1Light">
    <w:name w:val="List Table 1 Light"/>
    <w:basedOn w:val="TableNormal"/>
    <w:uiPriority w:val="46"/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4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band1Horz">
      <w:tblPr/>
      <w:tcPr>
        <w:shd w:val="clear" w:color="auto" w:fill="FFFFF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