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691BA" w14:textId="77777777" w:rsidR="005864C9" w:rsidRDefault="005864C9"/>
    <w:p w14:paraId="15A17C4B" w14:textId="77777777" w:rsidR="005864C9" w:rsidRDefault="005864C9"/>
    <w:p w14:paraId="6F29F620" w14:textId="77777777" w:rsidR="005864C9" w:rsidRDefault="005864C9"/>
    <w:p w14:paraId="37D42243" w14:textId="77777777" w:rsidR="005864C9" w:rsidRDefault="005864C9"/>
    <w:p w14:paraId="603328E6" w14:textId="77777777" w:rsidR="005864C9" w:rsidRDefault="005864C9"/>
    <w:p w14:paraId="25B4E11D" w14:textId="77777777" w:rsidR="005864C9" w:rsidRDefault="005864C9"/>
    <w:p w14:paraId="272CDC0B" w14:textId="77777777" w:rsidR="005864C9" w:rsidRDefault="00000000">
      <w:pPr>
        <w:spacing w:after="600"/>
        <w:jc w:val="center"/>
      </w:pPr>
      <w:r>
        <w:rPr>
          <w:b/>
          <w:bCs/>
          <w:color w:val="E8871E"/>
          <w:sz w:val="72"/>
          <w:szCs w:val="72"/>
        </w:rPr>
        <w:t>Businessplan</w:t>
      </w:r>
    </w:p>
    <w:p w14:paraId="7F0268E9" w14:textId="77777777" w:rsidR="005864C9" w:rsidRDefault="00000000">
      <w:pPr>
        <w:spacing w:after="200"/>
        <w:jc w:val="center"/>
      </w:pPr>
      <w:r>
        <w:rPr>
          <w:color w:val="333333"/>
          <w:sz w:val="36"/>
          <w:szCs w:val="36"/>
        </w:rPr>
        <w:t>Anamnic GmbH</w:t>
      </w:r>
    </w:p>
    <w:p w14:paraId="1A7FA776" w14:textId="77777777" w:rsidR="005864C9" w:rsidRDefault="00000000">
      <w:pPr>
        <w:spacing w:after="200"/>
        <w:jc w:val="center"/>
      </w:pPr>
      <w:r>
        <w:rPr>
          <w:color w:val="666666"/>
          <w:sz w:val="24"/>
          <w:szCs w:val="24"/>
        </w:rPr>
        <w:t>Voice-AI-Lösung für automatisierte medizinische Anamnese</w:t>
      </w:r>
    </w:p>
    <w:p w14:paraId="2E48143D" w14:textId="77777777" w:rsidR="005864C9" w:rsidRDefault="005864C9"/>
    <w:p w14:paraId="1E3D2EBF" w14:textId="77777777" w:rsidR="005864C9" w:rsidRDefault="005864C9"/>
    <w:p w14:paraId="2C370CE9" w14:textId="77777777" w:rsidR="005864C9" w:rsidRDefault="005864C9"/>
    <w:p w14:paraId="56F710F9" w14:textId="77777777" w:rsidR="005864C9" w:rsidRDefault="005864C9"/>
    <w:p w14:paraId="5F53017D" w14:textId="77777777" w:rsidR="005864C9" w:rsidRDefault="00000000">
      <w:pPr>
        <w:jc w:val="center"/>
      </w:pPr>
      <w:r>
        <w:rPr>
          <w:color w:val="666666"/>
        </w:rPr>
        <w:t>Verfasst von Peter Fehringer, BSc. MSc.</w:t>
      </w:r>
    </w:p>
    <w:p w14:paraId="0E6CFADF" w14:textId="77777777" w:rsidR="005864C9" w:rsidRDefault="00000000">
      <w:pPr>
        <w:jc w:val="center"/>
      </w:pPr>
      <w:r>
        <w:rPr>
          <w:color w:val="666666"/>
        </w:rPr>
        <w:t>März 2026</w:t>
      </w:r>
    </w:p>
    <w:p w14:paraId="05E0E40E" w14:textId="77777777" w:rsidR="005864C9" w:rsidRDefault="005864C9"/>
    <w:p w14:paraId="1F99928D" w14:textId="77777777" w:rsidR="005864C9" w:rsidRDefault="005864C9"/>
    <w:p w14:paraId="6197FE2B" w14:textId="77777777" w:rsidR="005864C9" w:rsidRDefault="005864C9"/>
    <w:p w14:paraId="1EFE9462" w14:textId="77777777" w:rsidR="005864C9" w:rsidRDefault="005864C9"/>
    <w:p w14:paraId="278F487F" w14:textId="77777777" w:rsidR="005864C9" w:rsidRDefault="005864C9"/>
    <w:p w14:paraId="3EDD0242" w14:textId="77777777" w:rsidR="005864C9" w:rsidRDefault="005864C9"/>
    <w:p w14:paraId="3FAC7AD0" w14:textId="6D53AA36" w:rsidR="00D474E1" w:rsidRDefault="00000000">
      <w:pPr>
        <w:jc w:val="center"/>
        <w:rPr>
          <w:i/>
          <w:iCs/>
          <w:color w:val="999999"/>
          <w:sz w:val="18"/>
          <w:szCs w:val="18"/>
        </w:rPr>
      </w:pPr>
      <w:r>
        <w:rPr>
          <w:i/>
          <w:iCs/>
          <w:color w:val="999999"/>
          <w:sz w:val="18"/>
          <w:szCs w:val="18"/>
        </w:rPr>
        <w:t>Erstellt im Rahmen des PPC Unternehmens-Gründungs-Programms</w:t>
      </w:r>
    </w:p>
    <w:p w14:paraId="3DB5C7E9" w14:textId="77777777" w:rsidR="00D474E1" w:rsidRDefault="00D474E1">
      <w:pPr>
        <w:rPr>
          <w:i/>
          <w:iCs/>
          <w:color w:val="999999"/>
          <w:sz w:val="18"/>
          <w:szCs w:val="18"/>
        </w:rPr>
      </w:pPr>
      <w:r>
        <w:rPr>
          <w:i/>
          <w:iCs/>
          <w:color w:val="999999"/>
          <w:sz w:val="18"/>
          <w:szCs w:val="18"/>
        </w:rPr>
        <w:br w:type="page"/>
      </w:r>
    </w:p>
    <w:sdt>
      <w:sdtPr>
        <w:rPr>
          <w:rFonts w:ascii="Arial" w:eastAsia="Arial" w:hAnsi="Arial" w:cs="Arial"/>
          <w:color w:val="auto"/>
          <w:sz w:val="22"/>
          <w:szCs w:val="22"/>
          <w:lang w:val="de-DE"/>
        </w:rPr>
        <w:id w:val="47270251"/>
        <w:docPartObj>
          <w:docPartGallery w:val="Table of Contents"/>
          <w:docPartUnique/>
        </w:docPartObj>
      </w:sdtPr>
      <w:sdtEndPr>
        <w:rPr>
          <w:b/>
          <w:bCs/>
        </w:rPr>
      </w:sdtEndPr>
      <w:sdtContent>
        <w:p w14:paraId="1478F140" w14:textId="3A4C1680" w:rsidR="00D474E1" w:rsidRDefault="00D474E1">
          <w:pPr>
            <w:pStyle w:val="Inhaltsverzeichnisberschrift"/>
          </w:pPr>
          <w:r>
            <w:rPr>
              <w:lang w:val="de-DE"/>
            </w:rPr>
            <w:t>Inhalt</w:t>
          </w:r>
        </w:p>
        <w:p w14:paraId="61E7F6D2" w14:textId="2099EABB" w:rsidR="00D474E1" w:rsidRDefault="00D474E1">
          <w:pPr>
            <w:pStyle w:val="Verzeichnis1"/>
            <w:tabs>
              <w:tab w:val="right" w:leader="dot" w:pos="9016"/>
            </w:tabs>
            <w:rPr>
              <w:noProof/>
            </w:rPr>
          </w:pPr>
          <w:r>
            <w:fldChar w:fldCharType="begin"/>
          </w:r>
          <w:r>
            <w:instrText xml:space="preserve"> TOC \o "1-3" \h \z \u </w:instrText>
          </w:r>
          <w:r>
            <w:fldChar w:fldCharType="separate"/>
          </w:r>
          <w:hyperlink w:anchor="_Toc225250873" w:history="1">
            <w:r>
              <w:rPr>
                <w:rStyle w:val="Hyperlink"/>
                <w:noProof/>
              </w:rPr>
              <w:t>1. Einleitung – Alles auf einen Blick</w:t>
            </w:r>
            <w:r>
              <w:rPr>
                <w:noProof/>
                <w:webHidden/>
              </w:rPr>
              <w:tab/>
            </w:r>
            <w:r>
              <w:rPr>
                <w:noProof/>
                <w:webHidden/>
              </w:rPr>
              <w:fldChar w:fldCharType="begin"/>
            </w:r>
            <w:r>
              <w:rPr>
                <w:noProof/>
                <w:webHidden/>
              </w:rPr>
              <w:instrText xml:space="preserve"> PAGEREF _Toc225250873 \h </w:instrText>
            </w:r>
            <w:r>
              <w:rPr>
                <w:noProof/>
                <w:webHidden/>
              </w:rPr>
            </w:r>
            <w:r>
              <w:rPr>
                <w:noProof/>
                <w:webHidden/>
              </w:rPr>
              <w:fldChar w:fldCharType="separate"/>
            </w:r>
            <w:r>
              <w:rPr>
                <w:noProof/>
                <w:webHidden/>
              </w:rPr>
              <w:t>3</w:t>
            </w:r>
            <w:r>
              <w:rPr>
                <w:noProof/>
                <w:webHidden/>
              </w:rPr>
              <w:fldChar w:fldCharType="end"/>
            </w:r>
          </w:hyperlink>
        </w:p>
        <w:p w14:paraId="1AF4B899" w14:textId="549C80F4" w:rsidR="00D474E1" w:rsidRDefault="00D474E1">
          <w:pPr>
            <w:pStyle w:val="Verzeichnis1"/>
            <w:tabs>
              <w:tab w:val="right" w:leader="dot" w:pos="9016"/>
            </w:tabs>
            <w:rPr>
              <w:noProof/>
            </w:rPr>
          </w:pPr>
          <w:hyperlink w:anchor="_Toc225250874" w:history="1">
            <w:r>
              <w:rPr>
                <w:rStyle w:val="Hyperlink"/>
                <w:noProof/>
              </w:rPr>
              <w:t>2. Die Geschäftsidee</w:t>
            </w:r>
            <w:r>
              <w:rPr>
                <w:noProof/>
                <w:webHidden/>
              </w:rPr>
              <w:tab/>
            </w:r>
            <w:r>
              <w:rPr>
                <w:noProof/>
                <w:webHidden/>
              </w:rPr>
              <w:fldChar w:fldCharType="begin"/>
            </w:r>
            <w:r>
              <w:rPr>
                <w:noProof/>
                <w:webHidden/>
              </w:rPr>
              <w:instrText xml:space="preserve"> PAGEREF _Toc225250874 \h </w:instrText>
            </w:r>
            <w:r>
              <w:rPr>
                <w:noProof/>
                <w:webHidden/>
              </w:rPr>
            </w:r>
            <w:r>
              <w:rPr>
                <w:noProof/>
                <w:webHidden/>
              </w:rPr>
              <w:fldChar w:fldCharType="separate"/>
            </w:r>
            <w:r>
              <w:rPr>
                <w:noProof/>
                <w:webHidden/>
              </w:rPr>
              <w:t>3</w:t>
            </w:r>
            <w:r>
              <w:rPr>
                <w:noProof/>
                <w:webHidden/>
              </w:rPr>
              <w:fldChar w:fldCharType="end"/>
            </w:r>
          </w:hyperlink>
        </w:p>
        <w:p w14:paraId="395A850C" w14:textId="4DA1E629" w:rsidR="00D474E1" w:rsidRDefault="00D474E1">
          <w:pPr>
            <w:pStyle w:val="Verzeichnis1"/>
            <w:tabs>
              <w:tab w:val="right" w:leader="dot" w:pos="9016"/>
            </w:tabs>
            <w:rPr>
              <w:noProof/>
            </w:rPr>
          </w:pPr>
          <w:hyperlink w:anchor="_Toc225250875" w:history="1">
            <w:r>
              <w:rPr>
                <w:rStyle w:val="Hyperlink"/>
                <w:noProof/>
              </w:rPr>
              <w:t>3. Wer sind Sie?</w:t>
            </w:r>
            <w:r>
              <w:rPr>
                <w:noProof/>
                <w:webHidden/>
              </w:rPr>
              <w:tab/>
            </w:r>
            <w:r>
              <w:rPr>
                <w:noProof/>
                <w:webHidden/>
              </w:rPr>
              <w:fldChar w:fldCharType="begin"/>
            </w:r>
            <w:r>
              <w:rPr>
                <w:noProof/>
                <w:webHidden/>
              </w:rPr>
              <w:instrText xml:space="preserve"> PAGEREF _Toc225250875 \h </w:instrText>
            </w:r>
            <w:r>
              <w:rPr>
                <w:noProof/>
                <w:webHidden/>
              </w:rPr>
            </w:r>
            <w:r>
              <w:rPr>
                <w:noProof/>
                <w:webHidden/>
              </w:rPr>
              <w:fldChar w:fldCharType="separate"/>
            </w:r>
            <w:r>
              <w:rPr>
                <w:noProof/>
                <w:webHidden/>
              </w:rPr>
              <w:t>4</w:t>
            </w:r>
            <w:r>
              <w:rPr>
                <w:noProof/>
                <w:webHidden/>
              </w:rPr>
              <w:fldChar w:fldCharType="end"/>
            </w:r>
          </w:hyperlink>
        </w:p>
        <w:p w14:paraId="60AEF16D" w14:textId="5AF63434" w:rsidR="00D474E1" w:rsidRDefault="00D474E1">
          <w:pPr>
            <w:pStyle w:val="Verzeichnis1"/>
            <w:tabs>
              <w:tab w:val="right" w:leader="dot" w:pos="9016"/>
            </w:tabs>
            <w:rPr>
              <w:noProof/>
            </w:rPr>
          </w:pPr>
          <w:hyperlink w:anchor="_Toc225250876" w:history="1">
            <w:r>
              <w:rPr>
                <w:rStyle w:val="Hyperlink"/>
                <w:noProof/>
              </w:rPr>
              <w:t>4. Die richtige Rechtsform</w:t>
            </w:r>
            <w:r>
              <w:rPr>
                <w:noProof/>
                <w:webHidden/>
              </w:rPr>
              <w:tab/>
            </w:r>
            <w:r>
              <w:rPr>
                <w:noProof/>
                <w:webHidden/>
              </w:rPr>
              <w:fldChar w:fldCharType="begin"/>
            </w:r>
            <w:r>
              <w:rPr>
                <w:noProof/>
                <w:webHidden/>
              </w:rPr>
              <w:instrText xml:space="preserve"> PAGEREF _Toc225250876 \h </w:instrText>
            </w:r>
            <w:r>
              <w:rPr>
                <w:noProof/>
                <w:webHidden/>
              </w:rPr>
            </w:r>
            <w:r>
              <w:rPr>
                <w:noProof/>
                <w:webHidden/>
              </w:rPr>
              <w:fldChar w:fldCharType="separate"/>
            </w:r>
            <w:r>
              <w:rPr>
                <w:noProof/>
                <w:webHidden/>
              </w:rPr>
              <w:t>5</w:t>
            </w:r>
            <w:r>
              <w:rPr>
                <w:noProof/>
                <w:webHidden/>
              </w:rPr>
              <w:fldChar w:fldCharType="end"/>
            </w:r>
          </w:hyperlink>
        </w:p>
        <w:p w14:paraId="3270DB29" w14:textId="0145567C" w:rsidR="00D474E1" w:rsidRDefault="00D474E1">
          <w:pPr>
            <w:pStyle w:val="Verzeichnis1"/>
            <w:tabs>
              <w:tab w:val="right" w:leader="dot" w:pos="9016"/>
            </w:tabs>
            <w:rPr>
              <w:noProof/>
            </w:rPr>
          </w:pPr>
          <w:hyperlink w:anchor="_Toc225250877" w:history="1">
            <w:r>
              <w:rPr>
                <w:rStyle w:val="Hyperlink"/>
                <w:noProof/>
              </w:rPr>
              <w:t>5. Der Standort</w:t>
            </w:r>
            <w:r>
              <w:rPr>
                <w:noProof/>
                <w:webHidden/>
              </w:rPr>
              <w:tab/>
            </w:r>
            <w:r>
              <w:rPr>
                <w:noProof/>
                <w:webHidden/>
              </w:rPr>
              <w:fldChar w:fldCharType="begin"/>
            </w:r>
            <w:r>
              <w:rPr>
                <w:noProof/>
                <w:webHidden/>
              </w:rPr>
              <w:instrText xml:space="preserve"> PAGEREF _Toc225250877 \h </w:instrText>
            </w:r>
            <w:r>
              <w:rPr>
                <w:noProof/>
                <w:webHidden/>
              </w:rPr>
            </w:r>
            <w:r>
              <w:rPr>
                <w:noProof/>
                <w:webHidden/>
              </w:rPr>
              <w:fldChar w:fldCharType="separate"/>
            </w:r>
            <w:r>
              <w:rPr>
                <w:noProof/>
                <w:webHidden/>
              </w:rPr>
              <w:t>5</w:t>
            </w:r>
            <w:r>
              <w:rPr>
                <w:noProof/>
                <w:webHidden/>
              </w:rPr>
              <w:fldChar w:fldCharType="end"/>
            </w:r>
          </w:hyperlink>
        </w:p>
        <w:p w14:paraId="2E947156" w14:textId="731F9FBB" w:rsidR="00D474E1" w:rsidRDefault="00D474E1">
          <w:pPr>
            <w:pStyle w:val="Verzeichnis1"/>
            <w:tabs>
              <w:tab w:val="right" w:leader="dot" w:pos="9016"/>
            </w:tabs>
            <w:rPr>
              <w:noProof/>
            </w:rPr>
          </w:pPr>
          <w:hyperlink w:anchor="_Toc225250878" w:history="1">
            <w:r>
              <w:rPr>
                <w:rStyle w:val="Hyperlink"/>
                <w:noProof/>
              </w:rPr>
              <w:t>6. Ihr Personalplan</w:t>
            </w:r>
            <w:r>
              <w:rPr>
                <w:noProof/>
                <w:webHidden/>
              </w:rPr>
              <w:tab/>
            </w:r>
            <w:r>
              <w:rPr>
                <w:noProof/>
                <w:webHidden/>
              </w:rPr>
              <w:fldChar w:fldCharType="begin"/>
            </w:r>
            <w:r>
              <w:rPr>
                <w:noProof/>
                <w:webHidden/>
              </w:rPr>
              <w:instrText xml:space="preserve"> PAGEREF _Toc225250878 \h </w:instrText>
            </w:r>
            <w:r>
              <w:rPr>
                <w:noProof/>
                <w:webHidden/>
              </w:rPr>
            </w:r>
            <w:r>
              <w:rPr>
                <w:noProof/>
                <w:webHidden/>
              </w:rPr>
              <w:fldChar w:fldCharType="separate"/>
            </w:r>
            <w:r>
              <w:rPr>
                <w:noProof/>
                <w:webHidden/>
              </w:rPr>
              <w:t>5</w:t>
            </w:r>
            <w:r>
              <w:rPr>
                <w:noProof/>
                <w:webHidden/>
              </w:rPr>
              <w:fldChar w:fldCharType="end"/>
            </w:r>
          </w:hyperlink>
        </w:p>
        <w:p w14:paraId="0FCCC7FD" w14:textId="6B95C6BC" w:rsidR="00D474E1" w:rsidRDefault="00D474E1">
          <w:pPr>
            <w:pStyle w:val="Verzeichnis1"/>
            <w:tabs>
              <w:tab w:val="right" w:leader="dot" w:pos="9016"/>
            </w:tabs>
            <w:rPr>
              <w:noProof/>
            </w:rPr>
          </w:pPr>
          <w:hyperlink w:anchor="_Toc225250879" w:history="1">
            <w:r>
              <w:rPr>
                <w:rStyle w:val="Hyperlink"/>
                <w:noProof/>
              </w:rPr>
              <w:t>7. Der Organisationsplan</w:t>
            </w:r>
            <w:r>
              <w:rPr>
                <w:noProof/>
                <w:webHidden/>
              </w:rPr>
              <w:tab/>
            </w:r>
            <w:r>
              <w:rPr>
                <w:noProof/>
                <w:webHidden/>
              </w:rPr>
              <w:fldChar w:fldCharType="begin"/>
            </w:r>
            <w:r>
              <w:rPr>
                <w:noProof/>
                <w:webHidden/>
              </w:rPr>
              <w:instrText xml:space="preserve"> PAGEREF _Toc225250879 \h </w:instrText>
            </w:r>
            <w:r>
              <w:rPr>
                <w:noProof/>
                <w:webHidden/>
              </w:rPr>
            </w:r>
            <w:r>
              <w:rPr>
                <w:noProof/>
                <w:webHidden/>
              </w:rPr>
              <w:fldChar w:fldCharType="separate"/>
            </w:r>
            <w:r>
              <w:rPr>
                <w:noProof/>
                <w:webHidden/>
              </w:rPr>
              <w:t>6</w:t>
            </w:r>
            <w:r>
              <w:rPr>
                <w:noProof/>
                <w:webHidden/>
              </w:rPr>
              <w:fldChar w:fldCharType="end"/>
            </w:r>
          </w:hyperlink>
        </w:p>
        <w:p w14:paraId="3E20DCEC" w14:textId="594FAA3F" w:rsidR="00D474E1" w:rsidRDefault="00D474E1">
          <w:pPr>
            <w:pStyle w:val="Verzeichnis1"/>
            <w:tabs>
              <w:tab w:val="right" w:leader="dot" w:pos="9016"/>
            </w:tabs>
            <w:rPr>
              <w:noProof/>
            </w:rPr>
          </w:pPr>
          <w:hyperlink w:anchor="_Toc225250880" w:history="1">
            <w:r>
              <w:rPr>
                <w:rStyle w:val="Hyperlink"/>
                <w:noProof/>
              </w:rPr>
              <w:t>8. Die Marktanalyse</w:t>
            </w:r>
            <w:r>
              <w:rPr>
                <w:noProof/>
                <w:webHidden/>
              </w:rPr>
              <w:tab/>
            </w:r>
            <w:r>
              <w:rPr>
                <w:noProof/>
                <w:webHidden/>
              </w:rPr>
              <w:fldChar w:fldCharType="begin"/>
            </w:r>
            <w:r>
              <w:rPr>
                <w:noProof/>
                <w:webHidden/>
              </w:rPr>
              <w:instrText xml:space="preserve"> PAGEREF _Toc225250880 \h </w:instrText>
            </w:r>
            <w:r>
              <w:rPr>
                <w:noProof/>
                <w:webHidden/>
              </w:rPr>
            </w:r>
            <w:r>
              <w:rPr>
                <w:noProof/>
                <w:webHidden/>
              </w:rPr>
              <w:fldChar w:fldCharType="separate"/>
            </w:r>
            <w:r>
              <w:rPr>
                <w:noProof/>
                <w:webHidden/>
              </w:rPr>
              <w:t>6</w:t>
            </w:r>
            <w:r>
              <w:rPr>
                <w:noProof/>
                <w:webHidden/>
              </w:rPr>
              <w:fldChar w:fldCharType="end"/>
            </w:r>
          </w:hyperlink>
        </w:p>
        <w:p w14:paraId="0DC8236D" w14:textId="08997E3E" w:rsidR="00D474E1" w:rsidRDefault="00D474E1">
          <w:pPr>
            <w:pStyle w:val="Verzeichnis1"/>
            <w:tabs>
              <w:tab w:val="right" w:leader="dot" w:pos="9016"/>
            </w:tabs>
            <w:rPr>
              <w:noProof/>
            </w:rPr>
          </w:pPr>
          <w:hyperlink w:anchor="_Toc225250881" w:history="1">
            <w:r>
              <w:rPr>
                <w:rStyle w:val="Hyperlink"/>
                <w:noProof/>
              </w:rPr>
              <w:t>9. Die Konkurrenz- und Branchenanalyse</w:t>
            </w:r>
            <w:r>
              <w:rPr>
                <w:noProof/>
                <w:webHidden/>
              </w:rPr>
              <w:tab/>
            </w:r>
            <w:r>
              <w:rPr>
                <w:noProof/>
                <w:webHidden/>
              </w:rPr>
              <w:fldChar w:fldCharType="begin"/>
            </w:r>
            <w:r>
              <w:rPr>
                <w:noProof/>
                <w:webHidden/>
              </w:rPr>
              <w:instrText xml:space="preserve"> PAGEREF _Toc225250881 \h </w:instrText>
            </w:r>
            <w:r>
              <w:rPr>
                <w:noProof/>
                <w:webHidden/>
              </w:rPr>
            </w:r>
            <w:r>
              <w:rPr>
                <w:noProof/>
                <w:webHidden/>
              </w:rPr>
              <w:fldChar w:fldCharType="separate"/>
            </w:r>
            <w:r>
              <w:rPr>
                <w:noProof/>
                <w:webHidden/>
              </w:rPr>
              <w:t>7</w:t>
            </w:r>
            <w:r>
              <w:rPr>
                <w:noProof/>
                <w:webHidden/>
              </w:rPr>
              <w:fldChar w:fldCharType="end"/>
            </w:r>
          </w:hyperlink>
        </w:p>
        <w:p w14:paraId="5203D055" w14:textId="4D5022C1" w:rsidR="00D474E1" w:rsidRDefault="00D474E1">
          <w:pPr>
            <w:pStyle w:val="Verzeichnis1"/>
            <w:tabs>
              <w:tab w:val="right" w:leader="dot" w:pos="9016"/>
            </w:tabs>
            <w:rPr>
              <w:noProof/>
            </w:rPr>
          </w:pPr>
          <w:hyperlink w:anchor="_Toc225250882" w:history="1">
            <w:r>
              <w:rPr>
                <w:rStyle w:val="Hyperlink"/>
                <w:noProof/>
              </w:rPr>
              <w:t>10. Der Marketingplan</w:t>
            </w:r>
            <w:r>
              <w:rPr>
                <w:noProof/>
                <w:webHidden/>
              </w:rPr>
              <w:tab/>
            </w:r>
            <w:r>
              <w:rPr>
                <w:noProof/>
                <w:webHidden/>
              </w:rPr>
              <w:fldChar w:fldCharType="begin"/>
            </w:r>
            <w:r>
              <w:rPr>
                <w:noProof/>
                <w:webHidden/>
              </w:rPr>
              <w:instrText xml:space="preserve"> PAGEREF _Toc225250882 \h </w:instrText>
            </w:r>
            <w:r>
              <w:rPr>
                <w:noProof/>
                <w:webHidden/>
              </w:rPr>
            </w:r>
            <w:r>
              <w:rPr>
                <w:noProof/>
                <w:webHidden/>
              </w:rPr>
              <w:fldChar w:fldCharType="separate"/>
            </w:r>
            <w:r>
              <w:rPr>
                <w:noProof/>
                <w:webHidden/>
              </w:rPr>
              <w:t>8</w:t>
            </w:r>
            <w:r>
              <w:rPr>
                <w:noProof/>
                <w:webHidden/>
              </w:rPr>
              <w:fldChar w:fldCharType="end"/>
            </w:r>
          </w:hyperlink>
        </w:p>
        <w:p w14:paraId="775C2E82" w14:textId="6789A658" w:rsidR="00D474E1" w:rsidRDefault="00D474E1">
          <w:pPr>
            <w:pStyle w:val="Verzeichnis1"/>
            <w:tabs>
              <w:tab w:val="right" w:leader="dot" w:pos="9016"/>
            </w:tabs>
            <w:rPr>
              <w:noProof/>
            </w:rPr>
          </w:pPr>
          <w:hyperlink w:anchor="_Toc225250883" w:history="1">
            <w:r>
              <w:rPr>
                <w:rStyle w:val="Hyperlink"/>
                <w:noProof/>
              </w:rPr>
              <w:t>11. Umsatz- und Ergebnisplanung</w:t>
            </w:r>
            <w:r>
              <w:rPr>
                <w:noProof/>
                <w:webHidden/>
              </w:rPr>
              <w:tab/>
            </w:r>
            <w:r>
              <w:rPr>
                <w:noProof/>
                <w:webHidden/>
              </w:rPr>
              <w:fldChar w:fldCharType="begin"/>
            </w:r>
            <w:r>
              <w:rPr>
                <w:noProof/>
                <w:webHidden/>
              </w:rPr>
              <w:instrText xml:space="preserve"> PAGEREF _Toc225250883 \h </w:instrText>
            </w:r>
            <w:r>
              <w:rPr>
                <w:noProof/>
                <w:webHidden/>
              </w:rPr>
            </w:r>
            <w:r>
              <w:rPr>
                <w:noProof/>
                <w:webHidden/>
              </w:rPr>
              <w:fldChar w:fldCharType="separate"/>
            </w:r>
            <w:r>
              <w:rPr>
                <w:noProof/>
                <w:webHidden/>
              </w:rPr>
              <w:t>9</w:t>
            </w:r>
            <w:r>
              <w:rPr>
                <w:noProof/>
                <w:webHidden/>
              </w:rPr>
              <w:fldChar w:fldCharType="end"/>
            </w:r>
          </w:hyperlink>
        </w:p>
        <w:p w14:paraId="26712511" w14:textId="1A77F9BF" w:rsidR="00D474E1" w:rsidRDefault="00D474E1">
          <w:pPr>
            <w:pStyle w:val="Verzeichnis1"/>
            <w:tabs>
              <w:tab w:val="right" w:leader="dot" w:pos="9016"/>
            </w:tabs>
            <w:rPr>
              <w:noProof/>
            </w:rPr>
          </w:pPr>
          <w:hyperlink w:anchor="_Toc225250884" w:history="1">
            <w:r>
              <w:rPr>
                <w:rStyle w:val="Hyperlink"/>
                <w:noProof/>
              </w:rPr>
              <w:t>12. Kostenrechnung – Kostenplanung</w:t>
            </w:r>
            <w:r>
              <w:rPr>
                <w:noProof/>
                <w:webHidden/>
              </w:rPr>
              <w:tab/>
            </w:r>
            <w:r>
              <w:rPr>
                <w:noProof/>
                <w:webHidden/>
              </w:rPr>
              <w:fldChar w:fldCharType="begin"/>
            </w:r>
            <w:r>
              <w:rPr>
                <w:noProof/>
                <w:webHidden/>
              </w:rPr>
              <w:instrText xml:space="preserve"> PAGEREF _Toc225250884 \h </w:instrText>
            </w:r>
            <w:r>
              <w:rPr>
                <w:noProof/>
                <w:webHidden/>
              </w:rPr>
            </w:r>
            <w:r>
              <w:rPr>
                <w:noProof/>
                <w:webHidden/>
              </w:rPr>
              <w:fldChar w:fldCharType="separate"/>
            </w:r>
            <w:r>
              <w:rPr>
                <w:noProof/>
                <w:webHidden/>
              </w:rPr>
              <w:t>10</w:t>
            </w:r>
            <w:r>
              <w:rPr>
                <w:noProof/>
                <w:webHidden/>
              </w:rPr>
              <w:fldChar w:fldCharType="end"/>
            </w:r>
          </w:hyperlink>
        </w:p>
        <w:p w14:paraId="5DA7D01F" w14:textId="3F80A2A5" w:rsidR="00D474E1" w:rsidRDefault="00D474E1">
          <w:pPr>
            <w:pStyle w:val="Verzeichnis2"/>
            <w:tabs>
              <w:tab w:val="right" w:leader="dot" w:pos="9016"/>
            </w:tabs>
            <w:rPr>
              <w:noProof/>
            </w:rPr>
          </w:pPr>
          <w:hyperlink w:anchor="_Toc225250885" w:history="1">
            <w:r>
              <w:rPr>
                <w:rStyle w:val="Hyperlink"/>
                <w:noProof/>
              </w:rPr>
              <w:t>a. Einmalige Kosten</w:t>
            </w:r>
            <w:r>
              <w:rPr>
                <w:noProof/>
                <w:webHidden/>
              </w:rPr>
              <w:tab/>
            </w:r>
            <w:r>
              <w:rPr>
                <w:noProof/>
                <w:webHidden/>
              </w:rPr>
              <w:fldChar w:fldCharType="begin"/>
            </w:r>
            <w:r>
              <w:rPr>
                <w:noProof/>
                <w:webHidden/>
              </w:rPr>
              <w:instrText xml:space="preserve"> PAGEREF _Toc225250885 \h </w:instrText>
            </w:r>
            <w:r>
              <w:rPr>
                <w:noProof/>
                <w:webHidden/>
              </w:rPr>
            </w:r>
            <w:r>
              <w:rPr>
                <w:noProof/>
                <w:webHidden/>
              </w:rPr>
              <w:fldChar w:fldCharType="separate"/>
            </w:r>
            <w:r>
              <w:rPr>
                <w:noProof/>
                <w:webHidden/>
              </w:rPr>
              <w:t>10</w:t>
            </w:r>
            <w:r>
              <w:rPr>
                <w:noProof/>
                <w:webHidden/>
              </w:rPr>
              <w:fldChar w:fldCharType="end"/>
            </w:r>
          </w:hyperlink>
        </w:p>
        <w:p w14:paraId="09E81207" w14:textId="3C0BB10A" w:rsidR="00D474E1" w:rsidRDefault="00D474E1">
          <w:pPr>
            <w:pStyle w:val="Verzeichnis2"/>
            <w:tabs>
              <w:tab w:val="right" w:leader="dot" w:pos="9016"/>
            </w:tabs>
            <w:rPr>
              <w:noProof/>
            </w:rPr>
          </w:pPr>
          <w:hyperlink w:anchor="_Toc225250886" w:history="1">
            <w:r>
              <w:rPr>
                <w:rStyle w:val="Hyperlink"/>
                <w:noProof/>
              </w:rPr>
              <w:t>b. Laufende Kosten</w:t>
            </w:r>
            <w:r>
              <w:rPr>
                <w:noProof/>
                <w:webHidden/>
              </w:rPr>
              <w:tab/>
            </w:r>
            <w:r>
              <w:rPr>
                <w:noProof/>
                <w:webHidden/>
              </w:rPr>
              <w:fldChar w:fldCharType="begin"/>
            </w:r>
            <w:r>
              <w:rPr>
                <w:noProof/>
                <w:webHidden/>
              </w:rPr>
              <w:instrText xml:space="preserve"> PAGEREF _Toc225250886 \h </w:instrText>
            </w:r>
            <w:r>
              <w:rPr>
                <w:noProof/>
                <w:webHidden/>
              </w:rPr>
            </w:r>
            <w:r>
              <w:rPr>
                <w:noProof/>
                <w:webHidden/>
              </w:rPr>
              <w:fldChar w:fldCharType="separate"/>
            </w:r>
            <w:r>
              <w:rPr>
                <w:noProof/>
                <w:webHidden/>
              </w:rPr>
              <w:t>10</w:t>
            </w:r>
            <w:r>
              <w:rPr>
                <w:noProof/>
                <w:webHidden/>
              </w:rPr>
              <w:fldChar w:fldCharType="end"/>
            </w:r>
          </w:hyperlink>
        </w:p>
        <w:p w14:paraId="27084513" w14:textId="62CE6B03" w:rsidR="00D474E1" w:rsidRDefault="00D474E1">
          <w:pPr>
            <w:pStyle w:val="Verzeichnis1"/>
            <w:tabs>
              <w:tab w:val="right" w:leader="dot" w:pos="9016"/>
            </w:tabs>
            <w:rPr>
              <w:noProof/>
            </w:rPr>
          </w:pPr>
          <w:hyperlink w:anchor="_Toc225250887" w:history="1">
            <w:r>
              <w:rPr>
                <w:rStyle w:val="Hyperlink"/>
                <w:noProof/>
              </w:rPr>
              <w:t>13. Der Investitionsplan</w:t>
            </w:r>
            <w:r>
              <w:rPr>
                <w:noProof/>
                <w:webHidden/>
              </w:rPr>
              <w:tab/>
            </w:r>
            <w:r>
              <w:rPr>
                <w:noProof/>
                <w:webHidden/>
              </w:rPr>
              <w:fldChar w:fldCharType="begin"/>
            </w:r>
            <w:r>
              <w:rPr>
                <w:noProof/>
                <w:webHidden/>
              </w:rPr>
              <w:instrText xml:space="preserve"> PAGEREF _Toc225250887 \h </w:instrText>
            </w:r>
            <w:r>
              <w:rPr>
                <w:noProof/>
                <w:webHidden/>
              </w:rPr>
            </w:r>
            <w:r>
              <w:rPr>
                <w:noProof/>
                <w:webHidden/>
              </w:rPr>
              <w:fldChar w:fldCharType="separate"/>
            </w:r>
            <w:r>
              <w:rPr>
                <w:noProof/>
                <w:webHidden/>
              </w:rPr>
              <w:t>10</w:t>
            </w:r>
            <w:r>
              <w:rPr>
                <w:noProof/>
                <w:webHidden/>
              </w:rPr>
              <w:fldChar w:fldCharType="end"/>
            </w:r>
          </w:hyperlink>
        </w:p>
        <w:p w14:paraId="034EBC07" w14:textId="3874C314" w:rsidR="00D474E1" w:rsidRDefault="00D474E1">
          <w:pPr>
            <w:pStyle w:val="Verzeichnis1"/>
            <w:tabs>
              <w:tab w:val="right" w:leader="dot" w:pos="9016"/>
            </w:tabs>
            <w:rPr>
              <w:noProof/>
            </w:rPr>
          </w:pPr>
          <w:hyperlink w:anchor="_Toc225250888" w:history="1">
            <w:r>
              <w:rPr>
                <w:rStyle w:val="Hyperlink"/>
                <w:noProof/>
              </w:rPr>
              <w:t>14. Der Finanzplan</w:t>
            </w:r>
            <w:r>
              <w:rPr>
                <w:noProof/>
                <w:webHidden/>
              </w:rPr>
              <w:tab/>
            </w:r>
            <w:r>
              <w:rPr>
                <w:noProof/>
                <w:webHidden/>
              </w:rPr>
              <w:fldChar w:fldCharType="begin"/>
            </w:r>
            <w:r>
              <w:rPr>
                <w:noProof/>
                <w:webHidden/>
              </w:rPr>
              <w:instrText xml:space="preserve"> PAGEREF _Toc225250888 \h </w:instrText>
            </w:r>
            <w:r>
              <w:rPr>
                <w:noProof/>
                <w:webHidden/>
              </w:rPr>
            </w:r>
            <w:r>
              <w:rPr>
                <w:noProof/>
                <w:webHidden/>
              </w:rPr>
              <w:fldChar w:fldCharType="separate"/>
            </w:r>
            <w:r>
              <w:rPr>
                <w:noProof/>
                <w:webHidden/>
              </w:rPr>
              <w:t>10</w:t>
            </w:r>
            <w:r>
              <w:rPr>
                <w:noProof/>
                <w:webHidden/>
              </w:rPr>
              <w:fldChar w:fldCharType="end"/>
            </w:r>
          </w:hyperlink>
        </w:p>
        <w:p w14:paraId="7E900F03" w14:textId="4EB84CF6" w:rsidR="00D474E1" w:rsidRDefault="00D474E1">
          <w:pPr>
            <w:pStyle w:val="Verzeichnis1"/>
            <w:tabs>
              <w:tab w:val="right" w:leader="dot" w:pos="9016"/>
            </w:tabs>
            <w:rPr>
              <w:noProof/>
            </w:rPr>
          </w:pPr>
          <w:hyperlink w:anchor="_Toc225250889" w:history="1">
            <w:r>
              <w:rPr>
                <w:rStyle w:val="Hyperlink"/>
                <w:noProof/>
              </w:rPr>
              <w:t>15. Der Kapitalbedarf</w:t>
            </w:r>
            <w:r>
              <w:rPr>
                <w:noProof/>
                <w:webHidden/>
              </w:rPr>
              <w:tab/>
            </w:r>
            <w:r>
              <w:rPr>
                <w:noProof/>
                <w:webHidden/>
              </w:rPr>
              <w:fldChar w:fldCharType="begin"/>
            </w:r>
            <w:r>
              <w:rPr>
                <w:noProof/>
                <w:webHidden/>
              </w:rPr>
              <w:instrText xml:space="preserve"> PAGEREF _Toc225250889 \h </w:instrText>
            </w:r>
            <w:r>
              <w:rPr>
                <w:noProof/>
                <w:webHidden/>
              </w:rPr>
            </w:r>
            <w:r>
              <w:rPr>
                <w:noProof/>
                <w:webHidden/>
              </w:rPr>
              <w:fldChar w:fldCharType="separate"/>
            </w:r>
            <w:r>
              <w:rPr>
                <w:noProof/>
                <w:webHidden/>
              </w:rPr>
              <w:t>11</w:t>
            </w:r>
            <w:r>
              <w:rPr>
                <w:noProof/>
                <w:webHidden/>
              </w:rPr>
              <w:fldChar w:fldCharType="end"/>
            </w:r>
          </w:hyperlink>
        </w:p>
        <w:p w14:paraId="779CE851" w14:textId="7359C4AD" w:rsidR="00D474E1" w:rsidRDefault="00D474E1">
          <w:pPr>
            <w:pStyle w:val="Verzeichnis1"/>
            <w:tabs>
              <w:tab w:val="right" w:leader="dot" w:pos="9016"/>
            </w:tabs>
            <w:rPr>
              <w:noProof/>
            </w:rPr>
          </w:pPr>
          <w:hyperlink w:anchor="_Toc225250890" w:history="1">
            <w:r>
              <w:rPr>
                <w:rStyle w:val="Hyperlink"/>
                <w:noProof/>
              </w:rPr>
              <w:t>16. Das Versicherungskonzept</w:t>
            </w:r>
            <w:r>
              <w:rPr>
                <w:noProof/>
                <w:webHidden/>
              </w:rPr>
              <w:tab/>
            </w:r>
            <w:r>
              <w:rPr>
                <w:noProof/>
                <w:webHidden/>
              </w:rPr>
              <w:fldChar w:fldCharType="begin"/>
            </w:r>
            <w:r>
              <w:rPr>
                <w:noProof/>
                <w:webHidden/>
              </w:rPr>
              <w:instrText xml:space="preserve"> PAGEREF _Toc225250890 \h </w:instrText>
            </w:r>
            <w:r>
              <w:rPr>
                <w:noProof/>
                <w:webHidden/>
              </w:rPr>
            </w:r>
            <w:r>
              <w:rPr>
                <w:noProof/>
                <w:webHidden/>
              </w:rPr>
              <w:fldChar w:fldCharType="separate"/>
            </w:r>
            <w:r>
              <w:rPr>
                <w:noProof/>
                <w:webHidden/>
              </w:rPr>
              <w:t>11</w:t>
            </w:r>
            <w:r>
              <w:rPr>
                <w:noProof/>
                <w:webHidden/>
              </w:rPr>
              <w:fldChar w:fldCharType="end"/>
            </w:r>
          </w:hyperlink>
        </w:p>
        <w:p w14:paraId="59895081" w14:textId="52DA7E1B" w:rsidR="00D474E1" w:rsidRDefault="00D474E1">
          <w:pPr>
            <w:pStyle w:val="Verzeichnis1"/>
            <w:tabs>
              <w:tab w:val="right" w:leader="dot" w:pos="9016"/>
            </w:tabs>
            <w:rPr>
              <w:noProof/>
            </w:rPr>
          </w:pPr>
          <w:hyperlink w:anchor="_Toc225250891" w:history="1">
            <w:r>
              <w:rPr>
                <w:rStyle w:val="Hyperlink"/>
                <w:noProof/>
              </w:rPr>
              <w:t>17. SWOT-Analyse</w:t>
            </w:r>
            <w:r>
              <w:rPr>
                <w:noProof/>
                <w:webHidden/>
              </w:rPr>
              <w:tab/>
            </w:r>
            <w:r>
              <w:rPr>
                <w:noProof/>
                <w:webHidden/>
              </w:rPr>
              <w:fldChar w:fldCharType="begin"/>
            </w:r>
            <w:r>
              <w:rPr>
                <w:noProof/>
                <w:webHidden/>
              </w:rPr>
              <w:instrText xml:space="preserve"> PAGEREF _Toc225250891 \h </w:instrText>
            </w:r>
            <w:r>
              <w:rPr>
                <w:noProof/>
                <w:webHidden/>
              </w:rPr>
            </w:r>
            <w:r>
              <w:rPr>
                <w:noProof/>
                <w:webHidden/>
              </w:rPr>
              <w:fldChar w:fldCharType="separate"/>
            </w:r>
            <w:r>
              <w:rPr>
                <w:noProof/>
                <w:webHidden/>
              </w:rPr>
              <w:t>12</w:t>
            </w:r>
            <w:r>
              <w:rPr>
                <w:noProof/>
                <w:webHidden/>
              </w:rPr>
              <w:fldChar w:fldCharType="end"/>
            </w:r>
          </w:hyperlink>
        </w:p>
        <w:p w14:paraId="03E2400E" w14:textId="53049804" w:rsidR="00D474E1" w:rsidRDefault="00D474E1">
          <w:pPr>
            <w:pStyle w:val="Verzeichnis1"/>
            <w:tabs>
              <w:tab w:val="right" w:leader="dot" w:pos="9016"/>
            </w:tabs>
            <w:rPr>
              <w:noProof/>
            </w:rPr>
          </w:pPr>
          <w:hyperlink w:anchor="_Toc225250892" w:history="1">
            <w:r>
              <w:rPr>
                <w:rStyle w:val="Hyperlink"/>
                <w:noProof/>
              </w:rPr>
              <w:t>18. Persönliche Ziele und Umsetzungsplanung</w:t>
            </w:r>
            <w:r>
              <w:rPr>
                <w:noProof/>
                <w:webHidden/>
              </w:rPr>
              <w:tab/>
            </w:r>
            <w:r>
              <w:rPr>
                <w:noProof/>
                <w:webHidden/>
              </w:rPr>
              <w:fldChar w:fldCharType="begin"/>
            </w:r>
            <w:r>
              <w:rPr>
                <w:noProof/>
                <w:webHidden/>
              </w:rPr>
              <w:instrText xml:space="preserve"> PAGEREF _Toc225250892 \h </w:instrText>
            </w:r>
            <w:r>
              <w:rPr>
                <w:noProof/>
                <w:webHidden/>
              </w:rPr>
            </w:r>
            <w:r>
              <w:rPr>
                <w:noProof/>
                <w:webHidden/>
              </w:rPr>
              <w:fldChar w:fldCharType="separate"/>
            </w:r>
            <w:r>
              <w:rPr>
                <w:noProof/>
                <w:webHidden/>
              </w:rPr>
              <w:t>12</w:t>
            </w:r>
            <w:r>
              <w:rPr>
                <w:noProof/>
                <w:webHidden/>
              </w:rPr>
              <w:fldChar w:fldCharType="end"/>
            </w:r>
          </w:hyperlink>
        </w:p>
        <w:p w14:paraId="19C00EBD" w14:textId="6A58BCF9" w:rsidR="00D474E1" w:rsidRDefault="00D474E1">
          <w:pPr>
            <w:pStyle w:val="Verzeichnis1"/>
            <w:tabs>
              <w:tab w:val="right" w:leader="dot" w:pos="9016"/>
            </w:tabs>
            <w:rPr>
              <w:noProof/>
            </w:rPr>
          </w:pPr>
          <w:hyperlink w:anchor="_Toc225250893" w:history="1">
            <w:r>
              <w:rPr>
                <w:rStyle w:val="Hyperlink"/>
                <w:noProof/>
              </w:rPr>
              <w:t>19. Anhang und Anlagen</w:t>
            </w:r>
            <w:r>
              <w:rPr>
                <w:noProof/>
                <w:webHidden/>
              </w:rPr>
              <w:tab/>
            </w:r>
            <w:r>
              <w:rPr>
                <w:noProof/>
                <w:webHidden/>
              </w:rPr>
              <w:fldChar w:fldCharType="begin"/>
            </w:r>
            <w:r>
              <w:rPr>
                <w:noProof/>
                <w:webHidden/>
              </w:rPr>
              <w:instrText xml:space="preserve"> PAGEREF _Toc225250893 \h </w:instrText>
            </w:r>
            <w:r>
              <w:rPr>
                <w:noProof/>
                <w:webHidden/>
              </w:rPr>
            </w:r>
            <w:r>
              <w:rPr>
                <w:noProof/>
                <w:webHidden/>
              </w:rPr>
              <w:fldChar w:fldCharType="separate"/>
            </w:r>
            <w:r>
              <w:rPr>
                <w:noProof/>
                <w:webHidden/>
              </w:rPr>
              <w:t>13</w:t>
            </w:r>
            <w:r>
              <w:rPr>
                <w:noProof/>
                <w:webHidden/>
              </w:rPr>
              <w:fldChar w:fldCharType="end"/>
            </w:r>
          </w:hyperlink>
        </w:p>
        <w:p w14:paraId="7ECBDE2B" w14:textId="69569983" w:rsidR="00D474E1" w:rsidRDefault="00D474E1">
          <w:r>
            <w:rPr>
              <w:b/>
              <w:bCs/>
              <w:lang w:val="de-DE"/>
            </w:rPr>
            <w:fldChar w:fldCharType="end"/>
          </w:r>
        </w:p>
      </w:sdtContent>
    </w:sdt>
    <w:p w14:paraId="48BBF285" w14:textId="21F2E49A" w:rsidR="005864C9" w:rsidRDefault="005864C9" w:rsidP="00D474E1"/>
    <w:p w14:paraId="355DC0E4" w14:textId="77777777" w:rsidR="00D474E1" w:rsidRDefault="00D474E1">
      <w:pPr>
        <w:jc w:val="center"/>
      </w:pPr>
    </w:p>
    <w:p w14:paraId="56F0596C" w14:textId="77777777" w:rsidR="005864C9" w:rsidRDefault="005864C9">
      <w:pPr>
        <w:sectPr w:rsidR="005864C9">
          <w:pgSz w:w="11906" w:h="16838"/>
          <w:pgMar w:top="1440" w:right="1440" w:bottom="1440" w:left="1440" w:header="708" w:footer="708" w:gutter="0"/>
          <w:cols w:space="720"/>
          <w:docGrid w:linePitch="360"/>
        </w:sectPr>
      </w:pPr>
    </w:p>
    <w:p w14:paraId="5DA37899" w14:textId="77777777" w:rsidR="005864C9" w:rsidRDefault="00000000">
      <w:pPr>
        <w:pStyle w:val="berschrift1"/>
      </w:pPr>
      <w:bookmarkStart w:id="0" w:name="_Toc225250873"/>
      <w:r>
        <w:lastRenderedPageBreak/>
        <w:t>1. Einleitung – Alles auf einen Blick</w:t>
      </w:r>
      <w:bookmarkEnd w:id="0"/>
    </w:p>
    <w:p w14:paraId="635662CA" w14:textId="77777777" w:rsidR="005864C9" w:rsidRDefault="00000000">
      <w:pPr>
        <w:spacing w:after="120"/>
      </w:pPr>
      <w:r>
        <w:t>Anamnic ist eine Voice-AI-Lösung zur automatisierten Erhebung medizinischer Anamnesen. Patienten erhalten vor ihrem Arzttermin einen automatisierten Telefonanruf: Die KI führt ein strukturiertes Gespräch zu Krankengeschichte, Beschwerden, Medikation und Allergien. Das Ergebnis ist ein vollständiger Bericht als PDF oder im FHIR-Format für die Praxissoftware.</w:t>
      </w:r>
    </w:p>
    <w:p w14:paraId="0418DE17" w14:textId="77777777" w:rsidR="005864C9" w:rsidRDefault="00000000">
      <w:pPr>
        <w:spacing w:after="120"/>
      </w:pPr>
      <w:r>
        <w:t>Österreichische Ärzte verbringen 51,6 % ihrer Arbeitszeit mit Administration. Die Anamnese ist diagnostisch entscheidend – 82,5 % der korrekten Diagnosen können allein durch das Anamnesegespräch gestellt werden. Anamnic ermöglicht gründliche Anamnesen ohne zusätzlichen Zeitaufwand für das Fachpersonal.</w:t>
      </w:r>
      <w:r>
        <w:rPr>
          <w:rStyle w:val="Funotenzeichen"/>
        </w:rPr>
        <w:footnoteReference w:id="1"/>
      </w:r>
      <w:r>
        <w:rPr>
          <w:rStyle w:val="Funotenzeichen"/>
        </w:rPr>
        <w:footnoteReference w:id="2"/>
      </w:r>
    </w:p>
    <w:p w14:paraId="490CD1C0" w14:textId="1D1FE5CC" w:rsidR="005864C9" w:rsidRDefault="00000000">
      <w:pPr>
        <w:spacing w:after="120"/>
      </w:pPr>
      <w:r>
        <w:t xml:space="preserve">Die Gründung der Anamnic GmbH ist für Q3 2026 geplant, mit Sitz in Niederösterreich. Ein demo-fähiger MVP wird bis Q4 2026 angestrebt. Das Unternehmen finanziert sich eigenständig: 15.000 EUR Eigenmittel (Stammkapital) decken die Gründungsphase. Im ersten Geschäftsjahr (GJ1, Aug 2026 – Jul 2027) werden 22.300 EUR Umsatz bei 10.790 EUR Betriebsausgaben erzielt (ohne GF-Bezüge). Im zweiten Geschäftsjahr (GJ2) steigen die Einnahmen auf 87.350 EUR.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6"/>
        <w:gridCol w:w="1806"/>
        <w:gridCol w:w="1806"/>
        <w:gridCol w:w="1802"/>
      </w:tblGrid>
      <w:tr w:rsidR="005864C9" w14:paraId="50C04C3F" w14:textId="77777777">
        <w:tc>
          <w:tcPr>
            <w:tcW w:w="1806"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0BD791D6" w14:textId="77777777" w:rsidR="005864C9" w:rsidRDefault="00000000">
            <w:r>
              <w:rPr>
                <w:b/>
                <w:bCs/>
                <w:color w:val="FFFFFF"/>
                <w:sz w:val="20"/>
                <w:szCs w:val="20"/>
              </w:rPr>
              <w:t>Jahr</w:t>
            </w:r>
          </w:p>
        </w:tc>
        <w:tc>
          <w:tcPr>
            <w:tcW w:w="1806"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68028579" w14:textId="77777777" w:rsidR="005864C9" w:rsidRDefault="00000000">
            <w:r>
              <w:rPr>
                <w:b/>
                <w:bCs/>
                <w:color w:val="FFFFFF"/>
                <w:sz w:val="20"/>
                <w:szCs w:val="20"/>
              </w:rPr>
              <w:t>Kunden</w:t>
            </w:r>
          </w:p>
        </w:tc>
        <w:tc>
          <w:tcPr>
            <w:tcW w:w="1806"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43C75EC7" w14:textId="77777777" w:rsidR="005864C9" w:rsidRDefault="00000000">
            <w:r>
              <w:rPr>
                <w:b/>
                <w:bCs/>
                <w:color w:val="FFFFFF"/>
                <w:sz w:val="20"/>
                <w:szCs w:val="20"/>
              </w:rPr>
              <w:t>Umsatz (netto)</w:t>
            </w:r>
          </w:p>
        </w:tc>
        <w:tc>
          <w:tcPr>
            <w:tcW w:w="1806"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528BE0BE" w14:textId="77777777" w:rsidR="005864C9" w:rsidRDefault="00000000">
            <w:r>
              <w:rPr>
                <w:b/>
                <w:bCs/>
                <w:color w:val="FFFFFF"/>
                <w:sz w:val="20"/>
                <w:szCs w:val="20"/>
              </w:rPr>
              <w:t>Kosten</w:t>
            </w:r>
          </w:p>
        </w:tc>
        <w:tc>
          <w:tcPr>
            <w:tcW w:w="1802"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5B39BACE" w14:textId="77777777" w:rsidR="005864C9" w:rsidRDefault="00000000">
            <w:r>
              <w:rPr>
                <w:b/>
                <w:bCs/>
                <w:color w:val="FFFFFF"/>
                <w:sz w:val="20"/>
                <w:szCs w:val="20"/>
              </w:rPr>
              <w:t>EBIT</w:t>
            </w:r>
          </w:p>
        </w:tc>
      </w:tr>
      <w:tr w:rsidR="005864C9" w14:paraId="127446CB" w14:textId="77777777">
        <w:tc>
          <w:tcPr>
            <w:tcW w:w="18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39FDCD" w14:textId="77777777" w:rsidR="005864C9" w:rsidRDefault="00000000">
            <w:r>
              <w:rPr>
                <w:sz w:val="20"/>
                <w:szCs w:val="20"/>
              </w:rPr>
              <w:t>GJ1</w:t>
            </w:r>
          </w:p>
        </w:tc>
        <w:tc>
          <w:tcPr>
            <w:tcW w:w="18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CA9769" w14:textId="77777777" w:rsidR="005864C9" w:rsidRDefault="00000000">
            <w:r>
              <w:rPr>
                <w:sz w:val="20"/>
                <w:szCs w:val="20"/>
              </w:rPr>
              <w:t>~19</w:t>
            </w:r>
          </w:p>
        </w:tc>
        <w:tc>
          <w:tcPr>
            <w:tcW w:w="18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1F6D64" w14:textId="77777777" w:rsidR="005864C9" w:rsidRDefault="00000000">
            <w:r>
              <w:rPr>
                <w:sz w:val="20"/>
                <w:szCs w:val="20"/>
              </w:rPr>
              <w:t>22.300 EUR</w:t>
            </w:r>
          </w:p>
        </w:tc>
        <w:tc>
          <w:tcPr>
            <w:tcW w:w="18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B44B6D" w14:textId="77777777" w:rsidR="005864C9" w:rsidRDefault="00000000">
            <w:r>
              <w:rPr>
                <w:sz w:val="20"/>
                <w:szCs w:val="20"/>
              </w:rPr>
              <w:t>10.790 EUR</w:t>
            </w:r>
          </w:p>
        </w:tc>
        <w:tc>
          <w:tcPr>
            <w:tcW w:w="180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BE73FB" w14:textId="77777777" w:rsidR="005864C9" w:rsidRDefault="00000000">
            <w:r>
              <w:rPr>
                <w:sz w:val="20"/>
                <w:szCs w:val="20"/>
              </w:rPr>
              <w:t>+11.510 EUR</w:t>
            </w:r>
          </w:p>
        </w:tc>
      </w:tr>
      <w:tr w:rsidR="005864C9" w14:paraId="1B7512AB" w14:textId="77777777">
        <w:tc>
          <w:tcPr>
            <w:tcW w:w="18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CC8EB9" w14:textId="77777777" w:rsidR="005864C9" w:rsidRDefault="00000000">
            <w:r>
              <w:rPr>
                <w:sz w:val="20"/>
                <w:szCs w:val="20"/>
              </w:rPr>
              <w:t>GJ2</w:t>
            </w:r>
          </w:p>
        </w:tc>
        <w:tc>
          <w:tcPr>
            <w:tcW w:w="18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8C12CA" w14:textId="77777777" w:rsidR="005864C9" w:rsidRDefault="00000000">
            <w:r>
              <w:rPr>
                <w:sz w:val="20"/>
                <w:szCs w:val="20"/>
              </w:rPr>
              <w:t>~42</w:t>
            </w:r>
          </w:p>
        </w:tc>
        <w:tc>
          <w:tcPr>
            <w:tcW w:w="18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B9C970" w14:textId="77777777" w:rsidR="005864C9" w:rsidRDefault="00000000">
            <w:r>
              <w:rPr>
                <w:sz w:val="20"/>
                <w:szCs w:val="20"/>
              </w:rPr>
              <w:t>87.350 EUR</w:t>
            </w:r>
          </w:p>
        </w:tc>
        <w:tc>
          <w:tcPr>
            <w:tcW w:w="18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71C9D8" w14:textId="77777777" w:rsidR="005864C9" w:rsidRDefault="00000000">
            <w:r>
              <w:rPr>
                <w:sz w:val="20"/>
                <w:szCs w:val="20"/>
              </w:rPr>
              <w:t>20.190 EUR</w:t>
            </w:r>
          </w:p>
        </w:tc>
        <w:tc>
          <w:tcPr>
            <w:tcW w:w="180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593C90" w14:textId="77777777" w:rsidR="005864C9" w:rsidRDefault="00000000">
            <w:r>
              <w:rPr>
                <w:sz w:val="20"/>
                <w:szCs w:val="20"/>
              </w:rPr>
              <w:t>+67.160 EUR</w:t>
            </w:r>
          </w:p>
        </w:tc>
      </w:tr>
    </w:tbl>
    <w:p w14:paraId="06AA81C2" w14:textId="77777777" w:rsidR="005864C9" w:rsidRDefault="005864C9"/>
    <w:p w14:paraId="5640A5A6" w14:textId="77777777" w:rsidR="005864C9" w:rsidRDefault="00000000">
      <w:pPr>
        <w:pStyle w:val="berschrift1"/>
      </w:pPr>
      <w:bookmarkStart w:id="1" w:name="_Toc225250874"/>
      <w:r>
        <w:t>2. Die Geschäftsidee</w:t>
      </w:r>
      <w:bookmarkEnd w:id="1"/>
    </w:p>
    <w:p w14:paraId="091FB7A9" w14:textId="77777777" w:rsidR="005864C9" w:rsidRDefault="00000000">
      <w:pPr>
        <w:spacing w:after="120"/>
      </w:pPr>
      <w:r>
        <w:rPr>
          <w:b/>
          <w:bCs/>
        </w:rPr>
        <w:t>Warum wird Anamnic gegründet?</w:t>
      </w:r>
    </w:p>
    <w:p w14:paraId="20D58685" w14:textId="77777777" w:rsidR="005864C9" w:rsidRDefault="00000000">
      <w:pPr>
        <w:spacing w:after="120"/>
      </w:pPr>
      <w:r>
        <w:t>Das österreichische Gesundheitssystem steht vor einer strukturellen Krise: 51,6 % der ärztlichen Arbeitszeit entfällt auf Administration, 20.000 Ärzte gehen in zehn Jahren in Pension, 311 Kassenstellen sind unbesetzt. Die durchschnittliche Konsultationsdauer in österreichischen Hausarztpraxen beträgt nur 5 Minuten – der niedrigste Wert Europas. Gleichzeitig ist die Anamnese diagnostisch entscheidend. Anamnic löst dieses Problem, indem es die Anamnese zeitlich vor den Termin verlagert – von synchron (Arzt fragt, Patient antwortet) zu asynchron (KI sammelt vorab).</w:t>
      </w:r>
      <w:r>
        <w:rPr>
          <w:rStyle w:val="Funotenzeichen"/>
        </w:rPr>
        <w:footnoteReference w:id="3"/>
      </w:r>
      <w:r>
        <w:rPr>
          <w:rStyle w:val="Funotenzeichen"/>
        </w:rPr>
        <w:footnoteReference w:id="4"/>
      </w:r>
      <w:r>
        <w:rPr>
          <w:rStyle w:val="Funotenzeichen"/>
        </w:rPr>
        <w:footnoteReference w:id="5"/>
      </w:r>
    </w:p>
    <w:p w14:paraId="3A9651AA" w14:textId="77777777" w:rsidR="005864C9" w:rsidRDefault="00000000">
      <w:pPr>
        <w:spacing w:after="120"/>
      </w:pPr>
      <w:r>
        <w:rPr>
          <w:b/>
          <w:bCs/>
        </w:rPr>
        <w:t>Kommerzielle Verwendungsmöglichkeit</w:t>
      </w:r>
    </w:p>
    <w:p w14:paraId="33C7CD30" w14:textId="77777777" w:rsidR="005864C9" w:rsidRDefault="00000000">
      <w:pPr>
        <w:spacing w:after="120"/>
      </w:pPr>
      <w:r>
        <w:t>Anamnic ist als B2B Software-as-a-Service (SaaS) konzipiert mit monatlichen oder jährlichen Abonnements. Das Produkt lässt sich breit einsetzen: von der Hausarztpraxis über Primärversorgungseinheiten (PVE) bis zu Krankenhaus-Ambulanzen, Psychotherapie, therapeutischen Heilberufen und Reha-Einrichtungen. Der modulare Aufbau ermöglicht fachbereichsspezifische Erweiterungen.</w:t>
      </w:r>
    </w:p>
    <w:p w14:paraId="4149018E" w14:textId="77777777" w:rsidR="00D45610" w:rsidRDefault="00D45610">
      <w:pPr>
        <w:spacing w:after="120"/>
        <w:rPr>
          <w:b/>
          <w:bCs/>
        </w:rPr>
      </w:pPr>
    </w:p>
    <w:p w14:paraId="709FD470" w14:textId="77777777" w:rsidR="00D45610" w:rsidRDefault="00D45610">
      <w:pPr>
        <w:spacing w:after="120"/>
        <w:rPr>
          <w:b/>
          <w:bCs/>
        </w:rPr>
      </w:pPr>
    </w:p>
    <w:p w14:paraId="13176988" w14:textId="28CD8CD0" w:rsidR="005864C9" w:rsidRDefault="00000000">
      <w:pPr>
        <w:spacing w:after="120"/>
      </w:pPr>
      <w:r>
        <w:rPr>
          <w:b/>
          <w:bCs/>
        </w:rPr>
        <w:lastRenderedPageBreak/>
        <w:t>Entwicklungsstand</w:t>
      </w:r>
    </w:p>
    <w:p w14:paraId="043837A3" w14:textId="77777777" w:rsidR="005864C9" w:rsidRDefault="00000000">
      <w:pPr>
        <w:spacing w:after="120"/>
      </w:pPr>
      <w:r>
        <w:t>Das Produkt befindet sich in der Konzept- und Architekturphase. Die technische Machbarkeit wurde validiert: Speech-to-Text für deutschsprachige medizinische Fachbegriffe, konversationelle KI für strukturierte Befragungen und Telefonie-Integration sind verfügbar und erprobt. Der MVP-Scope umfasst Telefonie-Integration, LLM-basierte Gesprächslogik, medizinische Strukturierung, PDF- und FHIR-Export sowie ein Praxis-Dashboard.</w:t>
      </w:r>
    </w:p>
    <w:p w14:paraId="7BBB28A6" w14:textId="77777777" w:rsidR="005864C9" w:rsidRDefault="00000000">
      <w:pPr>
        <w:spacing w:after="120"/>
      </w:pPr>
      <w:r>
        <w:rPr>
          <w:b/>
          <w:bCs/>
        </w:rPr>
        <w:t>Vergleichbare Angebote am Markt</w:t>
      </w:r>
    </w:p>
    <w:p w14:paraId="56137099" w14:textId="77777777" w:rsidR="005864C9" w:rsidRDefault="00000000">
      <w:pPr>
        <w:spacing w:after="120"/>
      </w:pPr>
      <w:r>
        <w:t>Alle direkten Wettbewerber (Idana, CGM AmbulApps, Nelly) sind rein formularbasiert. Indirekte Wettbewerber im Medical Scribing (Nuance DAX, Abridge, Tandem Health) dokumentieren während oder nach dem Gespräch, erheben aber keine strukturierte Anamnese vorab. Die Nische „sprachbasierte Voice-AI für medizinische Anamnese“ ist im DACH-Raum unbesetzt.</w:t>
      </w:r>
    </w:p>
    <w:p w14:paraId="42D38702" w14:textId="77777777" w:rsidR="005864C9" w:rsidRDefault="00000000">
      <w:pPr>
        <w:spacing w:after="120"/>
      </w:pPr>
      <w:r>
        <w:rPr>
          <w:b/>
          <w:bCs/>
        </w:rPr>
        <w:t>Innovationsvorsprung und Lebenszyklus</w:t>
      </w:r>
    </w:p>
    <w:p w14:paraId="47EF2102" w14:textId="77777777" w:rsidR="005864C9" w:rsidRDefault="00000000">
      <w:pPr>
        <w:spacing w:after="120"/>
      </w:pPr>
      <w:r>
        <w:t>Der First-Mover-Vorteil im DACH-Raum ist signifikant, da formularbasierte Wettbewerber nicht ohne kompletten Produktumbau auf einen sprachbasierten Ansatz wechseln können. Die Cloud-basierte Architektur und offene Standards (FHIR) gewährleisten Zukunftsfähigkeit und Interoperabilität, insbesondere im Hinblick auf den European Health Data Space ab 2029.</w:t>
      </w:r>
      <w:r>
        <w:rPr>
          <w:rStyle w:val="Funotenzeichen"/>
        </w:rPr>
        <w:footnoteReference w:id="6"/>
      </w:r>
    </w:p>
    <w:p w14:paraId="3BD215EE" w14:textId="77777777" w:rsidR="005864C9" w:rsidRDefault="00000000">
      <w:pPr>
        <w:spacing w:after="120"/>
      </w:pPr>
      <w:r>
        <w:rPr>
          <w:b/>
          <w:bCs/>
        </w:rPr>
        <w:t>Welches konkrete Defizit wird durch Anamnic befriedigt?</w:t>
      </w:r>
    </w:p>
    <w:p w14:paraId="05A01AE4" w14:textId="77777777" w:rsidR="005864C9" w:rsidRDefault="00000000">
      <w:pPr>
        <w:spacing w:after="120"/>
      </w:pPr>
      <w:r>
        <w:t>Ärzte und Therapeuten verbringen einen Großteil ihrer Arbeitszeit mit administrativer Dokumentation statt mit Patientenversorgung. Gleichzeitig werden ganze Patientengruppen – ältere Menschen, Personen mit Lese-/Schreibschwierigkeiten, Sehbehinderungen oder geringen Deutschkenntnissen – von bestehenden digitalen Lösungen strukturell ausgeschlossen, da diese Formulare und Schriftlichkeit voraussetzen.</w:t>
      </w:r>
    </w:p>
    <w:p w14:paraId="6A343E9E" w14:textId="77777777" w:rsidR="005864C9" w:rsidRDefault="00000000">
      <w:pPr>
        <w:spacing w:after="120"/>
      </w:pPr>
      <w:r>
        <w:rPr>
          <w:b/>
          <w:bCs/>
        </w:rPr>
        <w:t>Wie befriedigen potenzielle Kunden aktuell ihr Bedürfnis?</w:t>
      </w:r>
    </w:p>
    <w:p w14:paraId="71533087" w14:textId="77777777" w:rsidR="005864C9" w:rsidRDefault="00000000">
      <w:pPr>
        <w:spacing w:after="120"/>
      </w:pPr>
      <w:r>
        <w:t>Derzeit erfolgt die Anamnese-Erhebung entweder manuell durch das Fachpersonal im Gespräch (zeitintensiv, synchron) oder über formularbasierte digitale Lösungen (Idana, Nelly, CGM AmbulApps), die jedoch Lese- und Schreibfähigkeit voraussetzen. Viele Praxen nutzen noch Papierformulare. Keine bestehende Lösung kombiniert sprachbasierte Erhebung mit strukturierter Dokumentation vor dem Termin.</w:t>
      </w:r>
    </w:p>
    <w:p w14:paraId="1F7991EC" w14:textId="77777777" w:rsidR="005864C9" w:rsidRDefault="00000000">
      <w:pPr>
        <w:pStyle w:val="berschrift1"/>
      </w:pPr>
      <w:bookmarkStart w:id="2" w:name="_Toc225250875"/>
      <w:r>
        <w:t>3. Wer sind Sie?</w:t>
      </w:r>
      <w:bookmarkEnd w:id="2"/>
    </w:p>
    <w:p w14:paraId="15DFCD59" w14:textId="77777777" w:rsidR="005864C9" w:rsidRDefault="00000000">
      <w:pPr>
        <w:spacing w:after="120"/>
      </w:pPr>
      <w:r>
        <w:rPr>
          <w:b/>
          <w:bCs/>
        </w:rPr>
        <w:t>Peter Fehringer, BSc. MSc. – Gründer und CEO</w:t>
      </w:r>
    </w:p>
    <w:p w14:paraId="45D5952A" w14:textId="77777777" w:rsidR="005864C9" w:rsidRDefault="00000000">
      <w:pPr>
        <w:spacing w:after="120"/>
      </w:pPr>
      <w:r>
        <w:t>Peter Fehringer vereint medizinisches und technisches Know-how: BSc. Medizininformatik (medizinische Prozesse, Terminologien, Dokumentationsstandards) und MSc. Data Science und Engineering (KI/ML, Softwarearchitektur). Die Masterarbeit zum European Health Data Space vermittelte fundierte Expertise in Interoperabilitätsstandards (FHIR, HL7, ELGA).</w:t>
      </w:r>
    </w:p>
    <w:p w14:paraId="2DC85130" w14:textId="77777777" w:rsidR="005864C9" w:rsidRDefault="00000000">
      <w:pPr>
        <w:spacing w:after="120"/>
      </w:pPr>
      <w:r>
        <w:rPr>
          <w:b/>
          <w:bCs/>
        </w:rPr>
        <w:t>Praktische Erfahrungen</w:t>
      </w:r>
    </w:p>
    <w:p w14:paraId="78DF6B9C" w14:textId="77777777" w:rsidR="005864C9" w:rsidRDefault="00000000">
      <w:pPr>
        <w:spacing w:after="120"/>
      </w:pPr>
      <w:r>
        <w:t>Fundiertes Wissen über Gesundheitsdateninfrastrukturen und deren technische Umsetzung. Erfahrung in der Entwicklung datengetriebener Anwendungen und KI-Systeme. Verständnis klinischer Workflows und medizinischer Dokumentationsstandards.</w:t>
      </w:r>
    </w:p>
    <w:p w14:paraId="760902BB" w14:textId="77777777" w:rsidR="00D45610" w:rsidRDefault="00D45610">
      <w:pPr>
        <w:spacing w:after="120"/>
        <w:rPr>
          <w:b/>
          <w:bCs/>
          <w:lang w:val="en-GB"/>
        </w:rPr>
      </w:pPr>
    </w:p>
    <w:p w14:paraId="6280A3D7" w14:textId="77777777" w:rsidR="00D45610" w:rsidRDefault="00D45610">
      <w:pPr>
        <w:spacing w:after="120"/>
        <w:rPr>
          <w:b/>
          <w:bCs/>
          <w:lang w:val="en-GB"/>
        </w:rPr>
      </w:pPr>
    </w:p>
    <w:p w14:paraId="2E304353" w14:textId="52BAC767" w:rsidR="005864C9" w:rsidRPr="00D474E1" w:rsidRDefault="00000000">
      <w:pPr>
        <w:spacing w:after="120"/>
        <w:rPr>
          <w:lang w:val="en-GB"/>
        </w:rPr>
      </w:pPr>
      <w:proofErr w:type="spellStart"/>
      <w:r>
        <w:rPr>
          <w:b/>
          <w:bCs/>
          <w:lang w:val="en-GB"/>
        </w:rPr>
        <w:lastRenderedPageBreak/>
        <w:t>Theoretisches</w:t>
      </w:r>
      <w:proofErr w:type="spellEnd"/>
      <w:r>
        <w:rPr>
          <w:b/>
          <w:bCs/>
          <w:lang w:val="en-GB"/>
        </w:rPr>
        <w:t xml:space="preserve"> Know-how</w:t>
      </w:r>
    </w:p>
    <w:p w14:paraId="0C93802D" w14:textId="77777777" w:rsidR="005864C9" w:rsidRPr="00D474E1" w:rsidRDefault="00000000">
      <w:pPr>
        <w:spacing w:after="120"/>
        <w:rPr>
          <w:lang w:val="en-GB"/>
        </w:rPr>
      </w:pPr>
      <w:r>
        <w:rPr>
          <w:lang w:val="en-GB"/>
        </w:rPr>
        <w:t>Medizininformatik (Prozesse, Terminologien, Standards), Data Science und Engineering (KI/ML, Softwarearchitektur), Interoperabilitätsstandards (FHIR, HL7, ELGA), European Health Data Space.</w:t>
      </w:r>
    </w:p>
    <w:p w14:paraId="11A8FA98" w14:textId="77777777" w:rsidR="005864C9" w:rsidRDefault="00000000">
      <w:pPr>
        <w:spacing w:after="120"/>
      </w:pPr>
      <w:r>
        <w:rPr>
          <w:b/>
          <w:bCs/>
        </w:rPr>
        <w:t>Risikobereitschaft</w:t>
      </w:r>
    </w:p>
    <w:p w14:paraId="1AA24E32" w14:textId="77777777" w:rsidR="005864C9" w:rsidRDefault="00000000">
      <w:pPr>
        <w:spacing w:after="120"/>
      </w:pPr>
      <w:r>
        <w:t>Eigenfinanziert ohne externe Investoren in der Startphase. 15.000 EUR Eigenmittel als Stammkapital. Bereitschaft, die erste Phase als Einzelgründer zu stemmen und bei Wachstum gezielt zu erweitern.</w:t>
      </w:r>
    </w:p>
    <w:p w14:paraId="5F9E97BF" w14:textId="77777777" w:rsidR="005864C9" w:rsidRDefault="00000000">
      <w:pPr>
        <w:spacing w:after="120"/>
      </w:pPr>
      <w:r>
        <w:rPr>
          <w:b/>
          <w:bCs/>
        </w:rPr>
        <w:t>Fehlendes Know-how und Mitigation</w:t>
      </w:r>
    </w:p>
    <w:p w14:paraId="62307471" w14:textId="77777777" w:rsidR="005864C9" w:rsidRDefault="00000000">
      <w:pPr>
        <w:pStyle w:val="Listenabsatz"/>
        <w:numPr>
          <w:ilvl w:val="0"/>
          <w:numId w:val="2"/>
        </w:numPr>
        <w:spacing w:after="60"/>
      </w:pPr>
      <w:r>
        <w:t>Medizinische Fachexpertise: Punktuelle externe Beratung ab Q3 2026 zur Validierung der Gesprächslogik</w:t>
      </w:r>
    </w:p>
    <w:p w14:paraId="77F00F21" w14:textId="77777777" w:rsidR="005864C9" w:rsidRDefault="00000000">
      <w:pPr>
        <w:pStyle w:val="Listenabsatz"/>
        <w:numPr>
          <w:ilvl w:val="0"/>
          <w:numId w:val="2"/>
        </w:numPr>
        <w:spacing w:after="60"/>
      </w:pPr>
      <w:r>
        <w:t>Vertrieb: Nutzung des PVE-Netzwerks für erste Piloten; bei Wachstum dedizierter Sales-Lead</w:t>
      </w:r>
    </w:p>
    <w:p w14:paraId="4F815D66" w14:textId="77777777" w:rsidR="005864C9" w:rsidRDefault="00000000">
      <w:pPr>
        <w:pStyle w:val="Listenabsatz"/>
        <w:numPr>
          <w:ilvl w:val="0"/>
          <w:numId w:val="2"/>
        </w:numPr>
        <w:spacing w:after="120"/>
      </w:pPr>
      <w:r>
        <w:t>Kapazität: Outsourcing an Freelancer, externe Dienstleister für Steuer und Recht</w:t>
      </w:r>
    </w:p>
    <w:p w14:paraId="30E8E800" w14:textId="77777777" w:rsidR="005864C9" w:rsidRDefault="00000000">
      <w:pPr>
        <w:pStyle w:val="berschrift1"/>
      </w:pPr>
      <w:bookmarkStart w:id="3" w:name="_Toc225250876"/>
      <w:r>
        <w:t>4. Die richtige Rechtsform</w:t>
      </w:r>
      <w:bookmarkEnd w:id="3"/>
    </w:p>
    <w:p w14:paraId="72190896" w14:textId="77777777" w:rsidR="005864C9" w:rsidRDefault="00000000">
      <w:pPr>
        <w:spacing w:after="120"/>
      </w:pPr>
      <w:r>
        <w:t>Gründung als GmbH (Gesellschaft mit beschränkter Haftung) in Q3 2026 (August). Stammkapital: 15.000 EUR (seit GesRÄG 2023 beträgt das Mindeststammkapital 10.000 EUR). Eigentumsstruktur: Initial 100 % Gründer, Option für spätere Investorenbeteiligung.</w:t>
      </w:r>
      <w:r>
        <w:rPr>
          <w:rStyle w:val="Funotenzeichen"/>
        </w:rPr>
        <w:footnoteReference w:id="7"/>
      </w:r>
    </w:p>
    <w:p w14:paraId="456B525C" w14:textId="77777777" w:rsidR="005864C9" w:rsidRDefault="00000000">
      <w:pPr>
        <w:spacing w:after="120"/>
      </w:pPr>
      <w:r>
        <w:rPr>
          <w:b/>
          <w:bCs/>
        </w:rPr>
        <w:t>Begründung der Rechtsformwahl</w:t>
      </w:r>
    </w:p>
    <w:p w14:paraId="4143749B" w14:textId="77777777" w:rsidR="005864C9" w:rsidRDefault="00000000">
      <w:pPr>
        <w:pStyle w:val="Listenabsatz"/>
        <w:numPr>
          <w:ilvl w:val="0"/>
          <w:numId w:val="2"/>
        </w:numPr>
        <w:spacing w:after="60"/>
      </w:pPr>
      <w:r>
        <w:t>Beschränkte Haftung: Persönliches Risiko auf die Stammeinlage begrenzt</w:t>
      </w:r>
    </w:p>
    <w:p w14:paraId="53DD2856" w14:textId="77777777" w:rsidR="005864C9" w:rsidRDefault="00000000">
      <w:pPr>
        <w:pStyle w:val="Listenabsatz"/>
        <w:numPr>
          <w:ilvl w:val="0"/>
          <w:numId w:val="2"/>
        </w:numPr>
        <w:spacing w:after="60"/>
      </w:pPr>
      <w:r>
        <w:t>Professionalität: GmbH signalisiert Seriosität gegenüber Geschäftspartnern und Fördergebern</w:t>
      </w:r>
    </w:p>
    <w:p w14:paraId="666156C3" w14:textId="77777777" w:rsidR="005864C9" w:rsidRDefault="00000000">
      <w:pPr>
        <w:pStyle w:val="Listenabsatz"/>
        <w:numPr>
          <w:ilvl w:val="0"/>
          <w:numId w:val="2"/>
        </w:numPr>
        <w:spacing w:after="60"/>
      </w:pPr>
      <w:r>
        <w:t>Flexibilität: Spätere Investorenbeteiligung und Anteilsabtretung möglich</w:t>
      </w:r>
    </w:p>
    <w:p w14:paraId="3F4A69C8" w14:textId="77777777" w:rsidR="005864C9" w:rsidRDefault="00000000">
      <w:pPr>
        <w:pStyle w:val="Listenabsatz"/>
        <w:numPr>
          <w:ilvl w:val="0"/>
          <w:numId w:val="2"/>
        </w:numPr>
        <w:spacing w:after="60"/>
      </w:pPr>
      <w:r>
        <w:t>Alleinige Entscheidungsbefugnis: 100 % Gesellschafteranteile beim Gründer</w:t>
      </w:r>
    </w:p>
    <w:p w14:paraId="24C8E990" w14:textId="77777777" w:rsidR="005864C9" w:rsidRDefault="00000000">
      <w:pPr>
        <w:pStyle w:val="Listenabsatz"/>
        <w:numPr>
          <w:ilvl w:val="0"/>
          <w:numId w:val="2"/>
        </w:numPr>
        <w:spacing w:after="120"/>
      </w:pPr>
      <w:r>
        <w:t>Förderfähigkeit: GmbH ermöglicht Inanspruchnahme von aws PreSeed und weiteren Förderungen</w:t>
      </w:r>
    </w:p>
    <w:p w14:paraId="4AB4ECDD" w14:textId="77777777" w:rsidR="005864C9" w:rsidRDefault="00000000">
      <w:pPr>
        <w:spacing w:after="120"/>
      </w:pPr>
      <w:r>
        <w:t>Das Unternehmen wird vom Gründer selbst geleitet. Die alleinige Entscheidungsbefugnis verbleibt beim Unternehmenseigner. Förderungen (z. B. aws PreSeed Innovative Solutions) werden aktiv angestrebt.</w:t>
      </w:r>
    </w:p>
    <w:p w14:paraId="19EFB2EE" w14:textId="77777777" w:rsidR="005864C9" w:rsidRDefault="00000000">
      <w:pPr>
        <w:pStyle w:val="berschrift1"/>
      </w:pPr>
      <w:bookmarkStart w:id="4" w:name="_Toc225250877"/>
      <w:r>
        <w:t>5. Der Standort</w:t>
      </w:r>
      <w:bookmarkEnd w:id="4"/>
    </w:p>
    <w:p w14:paraId="1BB0035E" w14:textId="77777777" w:rsidR="005864C9" w:rsidRDefault="00000000">
      <w:pPr>
        <w:spacing w:after="120"/>
      </w:pPr>
      <w:r>
        <w:t>Firmensitz: Niederösterreich. Die Standortwahl ist strategisch begründet:</w:t>
      </w:r>
    </w:p>
    <w:p w14:paraId="4A7DFBBF" w14:textId="77777777" w:rsidR="005864C9" w:rsidRDefault="00000000">
      <w:pPr>
        <w:pStyle w:val="Listenabsatz"/>
        <w:numPr>
          <w:ilvl w:val="0"/>
          <w:numId w:val="2"/>
        </w:numPr>
        <w:spacing w:after="60"/>
      </w:pPr>
      <w:r>
        <w:t>Nähe zu Pilotpraxen im ländlichen Raum, wo der Ärztemangel besonders spürbar ist</w:t>
      </w:r>
    </w:p>
    <w:p w14:paraId="5E2FBCFB" w14:textId="77777777" w:rsidR="005864C9" w:rsidRDefault="00000000">
      <w:pPr>
        <w:pStyle w:val="Listenabsatz"/>
        <w:numPr>
          <w:ilvl w:val="0"/>
          <w:numId w:val="2"/>
        </w:numPr>
        <w:spacing w:after="60"/>
      </w:pPr>
      <w:r>
        <w:t>Gute Wien-Anbindung für Kundentermine und Netzwerkveranstaltungen</w:t>
      </w:r>
    </w:p>
    <w:p w14:paraId="6871C6EB" w14:textId="77777777" w:rsidR="005864C9" w:rsidRDefault="00000000">
      <w:pPr>
        <w:pStyle w:val="Listenabsatz"/>
        <w:numPr>
          <w:ilvl w:val="0"/>
          <w:numId w:val="2"/>
        </w:numPr>
        <w:spacing w:after="60"/>
      </w:pPr>
      <w:r>
        <w:t>Niedrigere Lebenshaltungskosten als Wien</w:t>
      </w:r>
    </w:p>
    <w:p w14:paraId="6FE90820" w14:textId="77777777" w:rsidR="005864C9" w:rsidRDefault="00000000">
      <w:pPr>
        <w:pStyle w:val="Listenabsatz"/>
        <w:numPr>
          <w:ilvl w:val="0"/>
          <w:numId w:val="2"/>
        </w:numPr>
        <w:spacing w:after="60"/>
      </w:pPr>
      <w:r>
        <w:t>Förderprogramme Niederösterreich</w:t>
      </w:r>
    </w:p>
    <w:p w14:paraId="59E99CE6" w14:textId="77777777" w:rsidR="005864C9" w:rsidRDefault="00000000">
      <w:pPr>
        <w:pStyle w:val="Listenabsatz"/>
        <w:numPr>
          <w:ilvl w:val="0"/>
          <w:numId w:val="2"/>
        </w:numPr>
        <w:spacing w:after="120"/>
      </w:pPr>
      <w:r>
        <w:t>Keine Raumkosten: Arbeit aus dem Home-Office, Cloud-basierte Infrastruktur</w:t>
      </w:r>
    </w:p>
    <w:p w14:paraId="72350555" w14:textId="77777777" w:rsidR="005864C9" w:rsidRDefault="00000000">
      <w:pPr>
        <w:spacing w:after="120"/>
      </w:pPr>
      <w:r>
        <w:t>Da Anamnic ein reines Softwareunternehmen ist, fallen keine speziellen Umweltbestimmungen oder Betriebsanlagengenehmigungen an. Der Remote-First-Ansatz ermöglicht zudem die spätere Gewinnung von Mitarbeitern unabhängig vom Standort.</w:t>
      </w:r>
    </w:p>
    <w:p w14:paraId="771A8FA7" w14:textId="77777777" w:rsidR="005864C9" w:rsidRDefault="00000000">
      <w:pPr>
        <w:pStyle w:val="berschrift1"/>
      </w:pPr>
      <w:bookmarkStart w:id="5" w:name="_Toc225250878"/>
      <w:r>
        <w:lastRenderedPageBreak/>
        <w:t>6. Ihr Personalplan</w:t>
      </w:r>
      <w:bookmarkEnd w:id="5"/>
    </w:p>
    <w:p w14:paraId="5105EA96" w14:textId="77777777" w:rsidR="005864C9" w:rsidRDefault="00000000">
      <w:pPr>
        <w:spacing w:after="120"/>
      </w:pPr>
      <w:r>
        <w:t>Die Personalplanung entwickelt sich in drei Phasen:</w:t>
      </w:r>
    </w:p>
    <w:p w14:paraId="6B054C23" w14:textId="77777777" w:rsidR="005864C9" w:rsidRDefault="00000000">
      <w:pPr>
        <w:spacing w:after="120"/>
      </w:pPr>
      <w:r>
        <w:rPr>
          <w:b/>
          <w:bCs/>
        </w:rPr>
        <w:t>Phase 1 (2026) – Gründung und MVP</w:t>
      </w:r>
    </w:p>
    <w:p w14:paraId="4546DE24" w14:textId="77777777" w:rsidR="005864C9" w:rsidRDefault="00000000">
      <w:pPr>
        <w:pStyle w:val="Listenabsatz"/>
        <w:numPr>
          <w:ilvl w:val="0"/>
          <w:numId w:val="2"/>
        </w:numPr>
        <w:spacing w:after="60"/>
      </w:pPr>
      <w:r>
        <w:t>CEO/Gründer Peter Fehringer (Vollzeit): Produktentwicklung, Management, Vertrieb</w:t>
      </w:r>
    </w:p>
    <w:p w14:paraId="4AC4D5A2" w14:textId="77777777" w:rsidR="005864C9" w:rsidRDefault="00000000">
      <w:pPr>
        <w:pStyle w:val="Listenabsatz"/>
        <w:numPr>
          <w:ilvl w:val="0"/>
          <w:numId w:val="2"/>
        </w:numPr>
        <w:spacing w:after="60"/>
      </w:pPr>
      <w:r>
        <w:t>IT-Recht und Medizinrechtsberatung (punktuell, extern)</w:t>
      </w:r>
    </w:p>
    <w:p w14:paraId="7C44776C" w14:textId="77777777" w:rsidR="005864C9" w:rsidRDefault="00000000">
      <w:pPr>
        <w:pStyle w:val="Listenabsatz"/>
        <w:numPr>
          <w:ilvl w:val="0"/>
          <w:numId w:val="2"/>
        </w:numPr>
        <w:spacing w:after="120"/>
      </w:pPr>
      <w:r>
        <w:t>Freelancer Entwicklung (punktuell, extern)</w:t>
      </w:r>
    </w:p>
    <w:p w14:paraId="69A666B0" w14:textId="77777777" w:rsidR="005864C9" w:rsidRDefault="00000000">
      <w:pPr>
        <w:spacing w:after="120"/>
      </w:pPr>
      <w:r>
        <w:rPr>
          <w:b/>
          <w:bCs/>
        </w:rPr>
        <w:t>Phase 2 (ab 2027) – Marktreife und Pilotbetrieb</w:t>
      </w:r>
    </w:p>
    <w:p w14:paraId="2FBE62E7" w14:textId="77777777" w:rsidR="005864C9" w:rsidRDefault="00000000">
      <w:pPr>
        <w:pStyle w:val="Listenabsatz"/>
        <w:numPr>
          <w:ilvl w:val="0"/>
          <w:numId w:val="2"/>
        </w:numPr>
        <w:spacing w:after="60"/>
      </w:pPr>
      <w:r>
        <w:t>CEO/Gründer (Vollzeit)</w:t>
      </w:r>
    </w:p>
    <w:p w14:paraId="35E50026" w14:textId="77777777" w:rsidR="005864C9" w:rsidRDefault="00000000">
      <w:pPr>
        <w:pStyle w:val="Listenabsatz"/>
        <w:numPr>
          <w:ilvl w:val="0"/>
          <w:numId w:val="2"/>
        </w:numPr>
        <w:spacing w:after="120"/>
      </w:pPr>
      <w:r>
        <w:t>Optional: Sales-Unterstützung (extern oder Teilzeit)</w:t>
      </w:r>
    </w:p>
    <w:p w14:paraId="2D438F8B" w14:textId="77777777" w:rsidR="005864C9" w:rsidRDefault="00000000">
      <w:pPr>
        <w:spacing w:after="120"/>
      </w:pPr>
      <w:r>
        <w:rPr>
          <w:b/>
          <w:bCs/>
        </w:rPr>
        <w:t>Phase 3 (ab 2029) – Wachstum</w:t>
      </w:r>
    </w:p>
    <w:p w14:paraId="13E683E4" w14:textId="77777777" w:rsidR="005864C9" w:rsidRDefault="00000000">
      <w:pPr>
        <w:pStyle w:val="Listenabsatz"/>
        <w:numPr>
          <w:ilvl w:val="0"/>
          <w:numId w:val="2"/>
        </w:numPr>
        <w:spacing w:after="60"/>
      </w:pPr>
      <w:r>
        <w:t>CEO/Gründer (Vollzeit)</w:t>
      </w:r>
    </w:p>
    <w:p w14:paraId="0D5E84BE" w14:textId="77777777" w:rsidR="005864C9" w:rsidRDefault="00000000">
      <w:pPr>
        <w:pStyle w:val="Listenabsatz"/>
        <w:numPr>
          <w:ilvl w:val="0"/>
          <w:numId w:val="2"/>
        </w:numPr>
        <w:spacing w:after="60"/>
      </w:pPr>
      <w:r>
        <w:t>1 Entwickler (Teilzeit, angestellt): ca. 36.000 EUR/Jahr</w:t>
      </w:r>
    </w:p>
    <w:p w14:paraId="7E17285D" w14:textId="77777777" w:rsidR="005864C9" w:rsidRDefault="00000000">
      <w:pPr>
        <w:pStyle w:val="Listenabsatz"/>
        <w:numPr>
          <w:ilvl w:val="0"/>
          <w:numId w:val="2"/>
        </w:numPr>
        <w:spacing w:after="120"/>
      </w:pPr>
      <w:r>
        <w:t>Vertrieb und Backoffice (geplant, je nach Bedarf)</w:t>
      </w:r>
    </w:p>
    <w:p w14:paraId="59747297" w14:textId="7C1A5EBF" w:rsidR="005864C9" w:rsidRDefault="00000000">
      <w:pPr>
        <w:spacing w:after="120"/>
      </w:pPr>
      <w:r>
        <w:t>In der EA-Prognose sind keine Geschäftsführerbezüge angesetzt. Spezialkenntnisse (KI/ML, Medizininformatik) sind beim Gründer vorhanden; zusätzliche Expertise wird remote oder über Freelancer eingebunden.</w:t>
      </w:r>
    </w:p>
    <w:p w14:paraId="635CFFF7" w14:textId="77777777" w:rsidR="005864C9" w:rsidRDefault="00000000">
      <w:pPr>
        <w:pStyle w:val="berschrift1"/>
      </w:pPr>
      <w:bookmarkStart w:id="6" w:name="_Toc225250879"/>
      <w:r>
        <w:t>7. Der Organisationsplan</w:t>
      </w:r>
      <w:bookmarkEnd w:id="6"/>
    </w:p>
    <w:p w14:paraId="01D4A344" w14:textId="77777777" w:rsidR="005864C9" w:rsidRDefault="00000000">
      <w:pPr>
        <w:spacing w:after="120"/>
      </w:pPr>
      <w:r>
        <w:t>Die Organisationsstruktur ist bewusst schlank und flexibel gehalten, um schnell auf Veränderungen reagieren zu können. In der Gründungsphase liegt die gesamte Verantwortung beim Gründer, unterstützt durch externe Berater und Freelancer.</w:t>
      </w:r>
    </w:p>
    <w:p w14:paraId="558816D5" w14:textId="77777777" w:rsidR="005864C9" w:rsidRDefault="00000000">
      <w:pPr>
        <w:spacing w:after="120"/>
      </w:pPr>
      <w:r>
        <w:rPr>
          <w:b/>
          <w:bCs/>
        </w:rPr>
        <w:t>Kernaufgaben</w:t>
      </w:r>
    </w:p>
    <w:p w14:paraId="60E0CCE2" w14:textId="77777777" w:rsidR="005864C9" w:rsidRDefault="00000000">
      <w:pPr>
        <w:pStyle w:val="Listenabsatz"/>
        <w:numPr>
          <w:ilvl w:val="0"/>
          <w:numId w:val="2"/>
        </w:numPr>
        <w:spacing w:after="60"/>
      </w:pPr>
      <w:r>
        <w:t>Produktvision und Roadmap – Kernkompetenz des Gründers</w:t>
      </w:r>
    </w:p>
    <w:p w14:paraId="2B20F356" w14:textId="77777777" w:rsidR="005864C9" w:rsidRDefault="00000000">
      <w:pPr>
        <w:pStyle w:val="Listenabsatz"/>
        <w:numPr>
          <w:ilvl w:val="0"/>
          <w:numId w:val="2"/>
        </w:numPr>
        <w:spacing w:after="60"/>
      </w:pPr>
      <w:r>
        <w:t>Gesprächslogik und Anamnese-Design – zentrales Differenzierungsmerkmal</w:t>
      </w:r>
    </w:p>
    <w:p w14:paraId="2A240009" w14:textId="77777777" w:rsidR="005864C9" w:rsidRDefault="00000000">
      <w:pPr>
        <w:pStyle w:val="Listenabsatz"/>
        <w:numPr>
          <w:ilvl w:val="0"/>
          <w:numId w:val="2"/>
        </w:numPr>
        <w:spacing w:after="60"/>
      </w:pPr>
      <w:r>
        <w:t>Backend-Entwicklung – IP-relevant, mit Freelancer-Unterstützung</w:t>
      </w:r>
    </w:p>
    <w:p w14:paraId="42223249" w14:textId="77777777" w:rsidR="005864C9" w:rsidRDefault="00000000">
      <w:pPr>
        <w:pStyle w:val="Listenabsatz"/>
        <w:numPr>
          <w:ilvl w:val="0"/>
          <w:numId w:val="2"/>
        </w:numPr>
        <w:spacing w:after="120"/>
      </w:pPr>
      <w:r>
        <w:t>Vertrieb und Kundenbetreuung – persönlich durch den Gründer</w:t>
      </w:r>
    </w:p>
    <w:p w14:paraId="34EFEC44" w14:textId="77777777" w:rsidR="005864C9" w:rsidRDefault="00000000">
      <w:pPr>
        <w:spacing w:after="120"/>
      </w:pPr>
      <w:r>
        <w:rPr>
          <w:b/>
          <w:bCs/>
        </w:rPr>
        <w:t>Externe Partner</w:t>
      </w:r>
    </w:p>
    <w:p w14:paraId="7347CD0F" w14:textId="77777777" w:rsidR="005864C9" w:rsidRDefault="00000000">
      <w:pPr>
        <w:pStyle w:val="Listenabsatz"/>
        <w:numPr>
          <w:ilvl w:val="0"/>
          <w:numId w:val="2"/>
        </w:numPr>
        <w:spacing w:after="60"/>
      </w:pPr>
      <w:r>
        <w:t>LLM-Inferenz: EU-souveräne Anbieter (z. B. Mistral, Paris)</w:t>
      </w:r>
    </w:p>
    <w:p w14:paraId="2492A8EB" w14:textId="77777777" w:rsidR="005864C9" w:rsidRPr="00D474E1" w:rsidRDefault="00000000">
      <w:pPr>
        <w:pStyle w:val="Listenabsatz"/>
        <w:numPr>
          <w:ilvl w:val="0"/>
          <w:numId w:val="2"/>
        </w:numPr>
        <w:spacing w:after="60"/>
        <w:rPr>
          <w:lang w:val="en-GB"/>
        </w:rPr>
      </w:pPr>
      <w:r>
        <w:rPr>
          <w:lang w:val="en-GB"/>
        </w:rPr>
        <w:t>Speech-to-Text: Self-hosted (faster-whisper)</w:t>
      </w:r>
    </w:p>
    <w:p w14:paraId="29670B93" w14:textId="77777777" w:rsidR="005864C9" w:rsidRDefault="00000000">
      <w:pPr>
        <w:pStyle w:val="Listenabsatz"/>
        <w:numPr>
          <w:ilvl w:val="0"/>
          <w:numId w:val="2"/>
        </w:numPr>
        <w:spacing w:after="60"/>
      </w:pPr>
      <w:r>
        <w:t>Telefonie-Infrastruktur: EU-Anbieter (z. B. sipgate.io, Düsseldorf)</w:t>
      </w:r>
    </w:p>
    <w:p w14:paraId="7133D5D3" w14:textId="77777777" w:rsidR="005864C9" w:rsidRDefault="00000000">
      <w:pPr>
        <w:pStyle w:val="Listenabsatz"/>
        <w:numPr>
          <w:ilvl w:val="0"/>
          <w:numId w:val="2"/>
        </w:numPr>
        <w:spacing w:after="60"/>
      </w:pPr>
      <w:r>
        <w:t>Cloud-Hosting: EU-Rechenzentren (Hetzner, Deutschland)</w:t>
      </w:r>
    </w:p>
    <w:p w14:paraId="6C9EEE2B" w14:textId="77777777" w:rsidR="005864C9" w:rsidRDefault="00000000">
      <w:pPr>
        <w:pStyle w:val="Listenabsatz"/>
        <w:numPr>
          <w:ilvl w:val="0"/>
          <w:numId w:val="2"/>
        </w:numPr>
        <w:spacing w:after="120"/>
      </w:pPr>
      <w:r>
        <w:t>Steuer- und Rechtsberatung: Externe Dienstleister</w:t>
      </w:r>
    </w:p>
    <w:p w14:paraId="2823E4D4" w14:textId="77777777" w:rsidR="005864C9" w:rsidRDefault="00000000">
      <w:pPr>
        <w:pStyle w:val="berschrift1"/>
      </w:pPr>
      <w:bookmarkStart w:id="7" w:name="_Toc225250880"/>
      <w:r>
        <w:t>8. Die Marktanalyse</w:t>
      </w:r>
      <w:bookmarkEnd w:id="7"/>
    </w:p>
    <w:p w14:paraId="040E6093" w14:textId="77777777" w:rsidR="005864C9" w:rsidRDefault="00000000">
      <w:pPr>
        <w:spacing w:after="120"/>
      </w:pPr>
      <w:r>
        <w:rPr>
          <w:b/>
          <w:bCs/>
        </w:rPr>
        <w:t>Marktgröße</w:t>
      </w:r>
    </w:p>
    <w:p w14:paraId="369BACC9" w14:textId="77777777" w:rsidR="005864C9" w:rsidRDefault="00000000">
      <w:pPr>
        <w:spacing w:after="120"/>
      </w:pPr>
      <w:r>
        <w:t>Der Gesamtmarkt (TAM) für automatisierte medizinische Anamnese im DACH-Raum umfasst ca. 200.000 potenzielle Nutzer bei einem ARPU von 1.200 EUR/Jahr, entsprechend ca. 240 Mio. EUR/Jahr. Der adressierbare Markt in Österreich (SAM) beträgt ca. 25.000 Nutzer bzw. ca. 30 Mio. EUR/Jahr. Der erreichbare Markt (SOM) wird konservativ mit 72 Kunden in vier Jahren bei einem durchschnittlichen Umsatz von ca. 2.950 EUR netto/Kunde geplant.</w:t>
      </w:r>
    </w:p>
    <w:p w14:paraId="0D407C81" w14:textId="77777777" w:rsidR="005864C9" w:rsidRDefault="00000000">
      <w:pPr>
        <w:spacing w:after="120"/>
      </w:pPr>
      <w:r>
        <w:rPr>
          <w:b/>
          <w:bCs/>
        </w:rPr>
        <w:lastRenderedPageBreak/>
        <w:t>Branchengröße Österreich</w:t>
      </w:r>
    </w:p>
    <w:p w14:paraId="7DF52066" w14:textId="77777777" w:rsidR="005864C9" w:rsidRDefault="00000000">
      <w:pPr>
        <w:pStyle w:val="Listenabsatz"/>
        <w:numPr>
          <w:ilvl w:val="0"/>
          <w:numId w:val="2"/>
        </w:numPr>
        <w:spacing w:after="60"/>
      </w:pPr>
      <w:r>
        <w:t>52.005 berufsübende Ärzte, davon ca. 20.000 niedergelassene</w:t>
      </w:r>
      <w:r>
        <w:rPr>
          <w:rStyle w:val="Funotenzeichen"/>
        </w:rPr>
        <w:footnoteReference w:id="8"/>
      </w:r>
    </w:p>
    <w:p w14:paraId="3FE8EA75" w14:textId="77777777" w:rsidR="005864C9" w:rsidRDefault="00000000">
      <w:pPr>
        <w:pStyle w:val="Listenabsatz"/>
        <w:numPr>
          <w:ilvl w:val="0"/>
          <w:numId w:val="2"/>
        </w:numPr>
        <w:spacing w:after="60"/>
      </w:pPr>
      <w:r>
        <w:t>Über 10.000 Psychotherapeuten und klinische Psychologen</w:t>
      </w:r>
      <w:r>
        <w:rPr>
          <w:rStyle w:val="Funotenzeichen"/>
        </w:rPr>
        <w:footnoteReference w:id="9"/>
      </w:r>
    </w:p>
    <w:p w14:paraId="657758A7" w14:textId="77777777" w:rsidR="005864C9" w:rsidRDefault="00000000">
      <w:pPr>
        <w:pStyle w:val="Listenabsatz"/>
        <w:numPr>
          <w:ilvl w:val="0"/>
          <w:numId w:val="2"/>
        </w:numPr>
        <w:spacing w:after="60"/>
      </w:pPr>
      <w:r>
        <w:t>Tausende Therapeuten in Physio-, Ergo-, Logopädie und Diätologie</w:t>
      </w:r>
    </w:p>
    <w:p w14:paraId="2E90E9D1" w14:textId="77777777" w:rsidR="005864C9" w:rsidRDefault="00000000">
      <w:pPr>
        <w:pStyle w:val="Listenabsatz"/>
        <w:numPr>
          <w:ilvl w:val="0"/>
          <w:numId w:val="2"/>
        </w:numPr>
        <w:spacing w:after="60"/>
      </w:pPr>
      <w:r>
        <w:t>270+ Krankenhäuser mit über 63.000 Betten</w:t>
      </w:r>
      <w:r>
        <w:rPr>
          <w:rStyle w:val="Funotenzeichen"/>
        </w:rPr>
        <w:footnoteReference w:id="10"/>
      </w:r>
    </w:p>
    <w:p w14:paraId="0866C707" w14:textId="77777777" w:rsidR="005864C9" w:rsidRDefault="00000000">
      <w:pPr>
        <w:pStyle w:val="Listenabsatz"/>
        <w:numPr>
          <w:ilvl w:val="0"/>
          <w:numId w:val="2"/>
        </w:numPr>
        <w:spacing w:after="120"/>
      </w:pPr>
      <w:r>
        <w:t>100 PVE mit Ausbauziel 133+ und 100 Mio. EUR EU-Förderung</w:t>
      </w:r>
      <w:r>
        <w:rPr>
          <w:rStyle w:val="Funotenzeichen"/>
        </w:rPr>
        <w:footnoteReference w:id="11"/>
      </w:r>
    </w:p>
    <w:p w14:paraId="69EE11AF" w14:textId="77777777" w:rsidR="005864C9" w:rsidRDefault="00000000">
      <w:pPr>
        <w:spacing w:after="120"/>
      </w:pPr>
      <w:r>
        <w:rPr>
          <w:b/>
          <w:bCs/>
        </w:rPr>
        <w:t>Die drei wichtigsten Kundengruppen</w:t>
      </w:r>
    </w:p>
    <w:p w14:paraId="6D2964FA" w14:textId="77777777" w:rsidR="005864C9" w:rsidRDefault="00000000">
      <w:pPr>
        <w:spacing w:after="120"/>
      </w:pPr>
      <w:r>
        <w:t>1. Primärversorgungseinheiten (PVE) und größere Praxen: Typischerweise 4 Ärzte und 6 MFA, ca. 150 Patientenkontakte/Tag, IT-Budgets von 500–1.500 EUR/Monat. Akuter Administrationsdruck bei extrem kurzen Konsultationszeiten. Entscheidungskriterien: ROI, einfache Integration, Datenschutz.</w:t>
      </w:r>
    </w:p>
    <w:p w14:paraId="6813B511" w14:textId="77777777" w:rsidR="005864C9" w:rsidRDefault="00000000">
      <w:pPr>
        <w:spacing w:after="120"/>
      </w:pPr>
      <w:r>
        <w:t>2. Psychotherapeuten: Das Erstgespräch dauert standardmäßig 50 Minuten, oft mit 10–20 Minuten zusätzlicher Dokumentation. Die Voice-KI kann 20–30 Minuten Basisanamnese vor dem Termin übernehmen. Entscheidungskriterien: Qualitative Entlastung, Flexibilität, Patientenakzeptanz.</w:t>
      </w:r>
    </w:p>
    <w:p w14:paraId="57163CE5" w14:textId="77777777" w:rsidR="005864C9" w:rsidRDefault="00000000">
      <w:pPr>
        <w:spacing w:after="120"/>
      </w:pPr>
      <w:r>
        <w:t>3. Krankenhaus-Ambulanzen und Kliniken: Höheres Volumen, komplexere Entscheidungsstrukturen. Die Aufnahme-Anamnese ist einer der zeitintensivsten Prozesse (15–55 Minuten). Anamnic kann den Großteil der strukturierten Erhebung übernehmen.</w:t>
      </w:r>
    </w:p>
    <w:p w14:paraId="0B2AF05E" w14:textId="77777777" w:rsidR="005864C9" w:rsidRDefault="00000000">
      <w:pPr>
        <w:spacing w:after="120"/>
      </w:pPr>
      <w:r>
        <w:rPr>
          <w:b/>
          <w:bCs/>
        </w:rPr>
        <w:t>Kundennutzen und Wertversprechen</w:t>
      </w:r>
    </w:p>
    <w:p w14:paraId="0953EB17" w14:textId="77777777" w:rsidR="005864C9" w:rsidRDefault="00000000">
      <w:pPr>
        <w:spacing w:after="120"/>
      </w:pPr>
      <w:r>
        <w:t>Anamnic verspricht seinen Kunden drei zentrale Werte: Erstens Zeitersparnis – die Verlagerung der Anamnese vor den Termin schafft Kapazität für mehr Patientenkontakte oder längere Konsultationen. Bereits 3–5 Minuten Ersparnis pro Patient ermöglichen in stark frequentierten Praxen mehrere zusätzliche Konsultationen pro Tag. Zweitens Qualitätsverbesserung – eine kardiologische Studie mit 762 Patienten zeigt, dass vorgelagerte Anamnesen signifikant höhere Qualitätsscores erreichen als die von Ärzten dokumentierten (4,2 vs. 2,6 von 5). Drittens Barrierefreiheit – der sprachbasierte Ansatz ist systemimmanent barrierefrei und erreicht auch Patienten ohne Smartphone, mit Sehbehinderungen, motorischen Einschränkungen oder geringen Deutschkenntnissen.</w:t>
      </w:r>
      <w:r>
        <w:rPr>
          <w:rStyle w:val="Funotenzeichen"/>
        </w:rPr>
        <w:footnoteReference w:id="12"/>
      </w:r>
    </w:p>
    <w:p w14:paraId="736E99E2" w14:textId="77777777" w:rsidR="005864C9" w:rsidRDefault="00000000">
      <w:pPr>
        <w:spacing w:after="120"/>
      </w:pPr>
      <w:r>
        <w:rPr>
          <w:b/>
          <w:bCs/>
        </w:rPr>
        <w:t>Was macht sicher, dass das Produkt für potenzielle Kunden interessant ist?</w:t>
      </w:r>
    </w:p>
    <w:p w14:paraId="75126CB5" w14:textId="77777777" w:rsidR="005864C9" w:rsidRDefault="00000000">
      <w:pPr>
        <w:spacing w:after="120"/>
      </w:pPr>
      <w:r>
        <w:t>Die wissenschaftliche Evidenz ist belastbar: Spitalsärzte verbringen 39 % ihrer Zeit mit Administration, junge Ärzte nahezu 50 %. Studien zeigen 28–40 % Zeitersparnis durch AI-gestützte Dokumentation. Der Voice-AI-Markt wächst mit 37,79 % CAGR. Internationale Unicorns (Abridge, Ambience, Nuance) mit Milliardenbewertungen bestätigen die Marktakzeptanz. In Österreich treibt die eHealth-Strategie 2024–2030 mit 51 Mio. EUR/Jahr die Digitalisierung voran.</w:t>
      </w:r>
      <w:r>
        <w:rPr>
          <w:rStyle w:val="Funotenzeichen"/>
        </w:rPr>
        <w:footnoteReference w:id="13"/>
      </w:r>
      <w:r>
        <w:rPr>
          <w:rStyle w:val="Funotenzeichen"/>
        </w:rPr>
        <w:footnoteReference w:id="14"/>
      </w:r>
      <w:r>
        <w:rPr>
          <w:rStyle w:val="Funotenzeichen"/>
        </w:rPr>
        <w:footnoteReference w:id="15"/>
      </w:r>
      <w:r>
        <w:rPr>
          <w:rStyle w:val="Funotenzeichen"/>
        </w:rPr>
        <w:footnoteReference w:id="16"/>
      </w:r>
    </w:p>
    <w:p w14:paraId="2EEADB24" w14:textId="77777777" w:rsidR="00D45610" w:rsidRDefault="00D45610">
      <w:pPr>
        <w:spacing w:after="120"/>
        <w:rPr>
          <w:b/>
          <w:bCs/>
        </w:rPr>
      </w:pPr>
    </w:p>
    <w:p w14:paraId="5EE15476" w14:textId="1AB1B7F4" w:rsidR="005864C9" w:rsidRDefault="00000000">
      <w:pPr>
        <w:spacing w:after="120"/>
      </w:pPr>
      <w:r>
        <w:rPr>
          <w:b/>
          <w:bCs/>
        </w:rPr>
        <w:lastRenderedPageBreak/>
        <w:t>Regionale Marktverteilung</w:t>
      </w:r>
    </w:p>
    <w:p w14:paraId="057224B0" w14:textId="77777777" w:rsidR="005864C9" w:rsidRDefault="00000000">
      <w:pPr>
        <w:spacing w:after="120"/>
      </w:pPr>
      <w:r>
        <w:t>Start in Österreich mit Fokus auf Niederösterreich und Wien. DACH-Expansion ab 2028–2029 geplant (Markteintritt Deutschland und Schweiz).</w:t>
      </w:r>
    </w:p>
    <w:p w14:paraId="06F6240C" w14:textId="77777777" w:rsidR="005864C9" w:rsidRDefault="00000000">
      <w:pPr>
        <w:spacing w:after="120"/>
      </w:pPr>
      <w:r>
        <w:rPr>
          <w:b/>
          <w:bCs/>
        </w:rPr>
        <w:t>Zeitplan Kundengewinnung</w:t>
      </w:r>
    </w:p>
    <w:p w14:paraId="2BD18500" w14:textId="77777777" w:rsidR="005864C9" w:rsidRDefault="00000000">
      <w:pPr>
        <w:spacing w:after="120"/>
      </w:pPr>
      <w:r>
        <w:t>Q3 2026: Drei LOIs von Pilotpartnern. Q4 2026–Q2 2027: Fünf aktive Pilotpraxen (kostenlos). Q3–Q4 2027: Vertriebsstart, Ziel 24 zahlende Kunden. 2028: Skalierung auf 48 Kunden. 2029: 72 Kunden.</w:t>
      </w:r>
    </w:p>
    <w:p w14:paraId="1FE82406" w14:textId="77777777" w:rsidR="005864C9" w:rsidRDefault="00000000">
      <w:pPr>
        <w:pStyle w:val="berschrift1"/>
      </w:pPr>
      <w:bookmarkStart w:id="8" w:name="_Toc225250881"/>
      <w:r>
        <w:t>9. Die Konkurrenz- und Branchenanalyse</w:t>
      </w:r>
      <w:bookmarkEnd w:id="8"/>
    </w:p>
    <w:p w14:paraId="27BAB78C" w14:textId="77777777" w:rsidR="005864C9" w:rsidRDefault="00000000">
      <w:pPr>
        <w:spacing w:after="120"/>
      </w:pPr>
      <w:r>
        <w:rPr>
          <w:b/>
          <w:bCs/>
        </w:rPr>
        <w:t>Direkte Wettbewerber (digitale Anamnese)</w:t>
      </w:r>
    </w:p>
    <w:p w14:paraId="412046A2" w14:textId="77777777" w:rsidR="005864C9" w:rsidRDefault="00000000">
      <w:pPr>
        <w:spacing w:after="120"/>
      </w:pPr>
      <w:r>
        <w:t>Idana (DE): Marktführer für formularbasierte digitale Anamnese, 1.000+ Praxen, 109–159 EUR/Monat. Ausgereift mit vielen Fachbereichen und automatischer Score-Berechnung. Schwäche: Rein formularbasiert, kein Voice-Kanal, keine Barrierefreiheit.</w:t>
      </w:r>
      <w:r>
        <w:rPr>
          <w:rStyle w:val="Funotenzeichen"/>
        </w:rPr>
        <w:footnoteReference w:id="17"/>
      </w:r>
    </w:p>
    <w:p w14:paraId="0E42875A" w14:textId="77777777" w:rsidR="005864C9" w:rsidRDefault="00000000">
      <w:pPr>
        <w:spacing w:after="120"/>
      </w:pPr>
      <w:r>
        <w:t>CGM AmbulApps (DE/AT): 2024 von CompuGroup Medical übernommen, in das führende PVS-Ökosystem integriert. Ab 79 EUR/Monat, 600+ Formulare. Zugang zu 6.000+ CGM-Praxen in Österreich. Schwäche: Rein formularbasiert auf iPad, keine aktive Gesprächsführung.</w:t>
      </w:r>
      <w:r>
        <w:rPr>
          <w:rStyle w:val="Funotenzeichen"/>
        </w:rPr>
        <w:footnoteReference w:id="18"/>
      </w:r>
    </w:p>
    <w:p w14:paraId="294F3AA6" w14:textId="77777777" w:rsidR="005864C9" w:rsidRDefault="00000000">
      <w:pPr>
        <w:spacing w:after="120"/>
      </w:pPr>
      <w:r>
        <w:t>Nelly (DE): Formulare und FinTech (digitale Zahlung), 1.200 Praxen, 65 Mio. EUR Funding, 99–299 EUR/Monat. Schwäche: Keine Voice-Komponente, kein Telefonkanal.</w:t>
      </w:r>
      <w:r>
        <w:rPr>
          <w:rStyle w:val="Funotenzeichen"/>
        </w:rPr>
        <w:footnoteReference w:id="19"/>
      </w:r>
    </w:p>
    <w:p w14:paraId="5F89B98F" w14:textId="77777777" w:rsidR="005864C9" w:rsidRDefault="00000000">
      <w:pPr>
        <w:spacing w:after="120"/>
      </w:pPr>
      <w:r>
        <w:rPr>
          <w:b/>
          <w:bCs/>
        </w:rPr>
        <w:t>Indirekte Wettbewerber (Medical Scribing)</w:t>
      </w:r>
    </w:p>
    <w:p w14:paraId="41A09930" w14:textId="77777777" w:rsidR="005864C9" w:rsidRDefault="00000000">
      <w:pPr>
        <w:spacing w:after="120"/>
      </w:pPr>
      <w:r>
        <w:t>Tandem Health (SE/DE): KI-Dokumentationsassistent, MDR Klasse IIa. Aktiver DACH-Markteintritt seit 2025. Löst dasselbe Grundproblem, aber dokumentiert nach dem Gespräch statt vorab. Nuance DAX, Abridge, Ambience Healthcare: US-fokussiert, Milliardenbewertungen, kein DACH-Fokus, keine Vorab-Anamnese.</w:t>
      </w:r>
    </w:p>
    <w:p w14:paraId="4921920A" w14:textId="77777777" w:rsidR="005864C9" w:rsidRDefault="00000000">
      <w:pPr>
        <w:spacing w:after="120"/>
      </w:pPr>
      <w:r>
        <w:rPr>
          <w:b/>
          <w:bCs/>
        </w:rPr>
        <w:t>Feature-Vergleich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6"/>
        <w:gridCol w:w="1406"/>
        <w:gridCol w:w="1406"/>
        <w:gridCol w:w="1406"/>
        <w:gridCol w:w="1402"/>
      </w:tblGrid>
      <w:tr w:rsidR="005864C9" w14:paraId="0705E4EB" w14:textId="77777777">
        <w:tc>
          <w:tcPr>
            <w:tcW w:w="2000"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27EC6E0A" w14:textId="77777777" w:rsidR="005864C9" w:rsidRDefault="00000000">
            <w:r>
              <w:rPr>
                <w:b/>
                <w:bCs/>
                <w:color w:val="FFFFFF"/>
                <w:sz w:val="20"/>
                <w:szCs w:val="20"/>
              </w:rPr>
              <w:t>Feature</w:t>
            </w:r>
          </w:p>
        </w:tc>
        <w:tc>
          <w:tcPr>
            <w:tcW w:w="1406"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34463865" w14:textId="77777777" w:rsidR="005864C9" w:rsidRDefault="00000000">
            <w:r>
              <w:rPr>
                <w:b/>
                <w:bCs/>
                <w:color w:val="FFFFFF"/>
                <w:sz w:val="20"/>
                <w:szCs w:val="20"/>
              </w:rPr>
              <w:t>Anamnic</w:t>
            </w:r>
          </w:p>
        </w:tc>
        <w:tc>
          <w:tcPr>
            <w:tcW w:w="1406"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04EE4E77" w14:textId="77777777" w:rsidR="005864C9" w:rsidRDefault="00000000">
            <w:r>
              <w:rPr>
                <w:b/>
                <w:bCs/>
                <w:color w:val="FFFFFF"/>
                <w:sz w:val="20"/>
                <w:szCs w:val="20"/>
              </w:rPr>
              <w:t>Idana</w:t>
            </w:r>
          </w:p>
        </w:tc>
        <w:tc>
          <w:tcPr>
            <w:tcW w:w="1406"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4544E18E" w14:textId="77777777" w:rsidR="005864C9" w:rsidRDefault="00000000">
            <w:r>
              <w:rPr>
                <w:b/>
                <w:bCs/>
                <w:color w:val="FFFFFF"/>
                <w:sz w:val="20"/>
                <w:szCs w:val="20"/>
              </w:rPr>
              <w:t>CGM</w:t>
            </w:r>
          </w:p>
        </w:tc>
        <w:tc>
          <w:tcPr>
            <w:tcW w:w="1406"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7E8DD282" w14:textId="77777777" w:rsidR="005864C9" w:rsidRDefault="00000000">
            <w:r>
              <w:rPr>
                <w:b/>
                <w:bCs/>
                <w:color w:val="FFFFFF"/>
                <w:sz w:val="20"/>
                <w:szCs w:val="20"/>
              </w:rPr>
              <w:t>Nelly</w:t>
            </w:r>
          </w:p>
        </w:tc>
        <w:tc>
          <w:tcPr>
            <w:tcW w:w="1402"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21D1C1D6" w14:textId="77777777" w:rsidR="005864C9" w:rsidRDefault="00000000">
            <w:r>
              <w:rPr>
                <w:b/>
                <w:bCs/>
                <w:color w:val="FFFFFF"/>
                <w:sz w:val="20"/>
                <w:szCs w:val="20"/>
              </w:rPr>
              <w:t>Tandem</w:t>
            </w:r>
          </w:p>
        </w:tc>
      </w:tr>
      <w:tr w:rsidR="005864C9" w14:paraId="606F553B"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2BCB5D" w14:textId="77777777" w:rsidR="005864C9" w:rsidRDefault="00000000">
            <w:r>
              <w:rPr>
                <w:sz w:val="20"/>
                <w:szCs w:val="20"/>
              </w:rPr>
              <w:t>Interaktion</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2566E9" w14:textId="77777777" w:rsidR="005864C9" w:rsidRDefault="00000000">
            <w:r>
              <w:rPr>
                <w:sz w:val="20"/>
                <w:szCs w:val="20"/>
              </w:rPr>
              <w:t>Sprache (Tel.)</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E9ADFF" w14:textId="77777777" w:rsidR="005864C9" w:rsidRDefault="00000000">
            <w:r>
              <w:rPr>
                <w:sz w:val="20"/>
                <w:szCs w:val="20"/>
              </w:rPr>
              <w:t>Formular</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C4CFB3" w14:textId="77777777" w:rsidR="005864C9" w:rsidRDefault="00000000">
            <w:r>
              <w:rPr>
                <w:sz w:val="20"/>
                <w:szCs w:val="20"/>
              </w:rPr>
              <w:t>Formular</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60EB7B" w14:textId="77777777" w:rsidR="005864C9" w:rsidRDefault="00000000">
            <w:r>
              <w:rPr>
                <w:sz w:val="20"/>
                <w:szCs w:val="20"/>
              </w:rPr>
              <w:t>Formular</w:t>
            </w:r>
          </w:p>
        </w:tc>
        <w:tc>
          <w:tcPr>
            <w:tcW w:w="140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36A547" w14:textId="77777777" w:rsidR="005864C9" w:rsidRDefault="00000000">
            <w:r>
              <w:rPr>
                <w:sz w:val="20"/>
                <w:szCs w:val="20"/>
              </w:rPr>
              <w:t>Aufnahme</w:t>
            </w:r>
          </w:p>
        </w:tc>
      </w:tr>
      <w:tr w:rsidR="005864C9" w14:paraId="06C2920B"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259A5E" w14:textId="77777777" w:rsidR="005864C9" w:rsidRDefault="00000000">
            <w:r>
              <w:rPr>
                <w:sz w:val="20"/>
                <w:szCs w:val="20"/>
              </w:rPr>
              <w:t>Zeitpunkt</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9FCB21" w14:textId="77777777" w:rsidR="005864C9" w:rsidRDefault="00000000">
            <w:r>
              <w:rPr>
                <w:sz w:val="20"/>
                <w:szCs w:val="20"/>
              </w:rPr>
              <w:t>Vor Termin</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40C007" w14:textId="77777777" w:rsidR="005864C9" w:rsidRDefault="00000000">
            <w:r>
              <w:rPr>
                <w:sz w:val="20"/>
                <w:szCs w:val="20"/>
              </w:rPr>
              <w:t>Vor Termin</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139CF1" w14:textId="77777777" w:rsidR="005864C9" w:rsidRDefault="00000000">
            <w:r>
              <w:rPr>
                <w:sz w:val="20"/>
                <w:szCs w:val="20"/>
              </w:rPr>
              <w:t>Vor Termin</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789F91" w14:textId="77777777" w:rsidR="005864C9" w:rsidRDefault="00000000">
            <w:r>
              <w:rPr>
                <w:sz w:val="20"/>
                <w:szCs w:val="20"/>
              </w:rPr>
              <w:t>Vor Termin</w:t>
            </w:r>
          </w:p>
        </w:tc>
        <w:tc>
          <w:tcPr>
            <w:tcW w:w="140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8E6B99" w14:textId="77777777" w:rsidR="005864C9" w:rsidRDefault="00000000">
            <w:r>
              <w:rPr>
                <w:sz w:val="20"/>
                <w:szCs w:val="20"/>
              </w:rPr>
              <w:t>Während</w:t>
            </w:r>
          </w:p>
        </w:tc>
      </w:tr>
      <w:tr w:rsidR="005864C9" w14:paraId="448894C1"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697215" w14:textId="77777777" w:rsidR="005864C9" w:rsidRDefault="00000000">
            <w:r>
              <w:rPr>
                <w:sz w:val="20"/>
                <w:szCs w:val="20"/>
              </w:rPr>
              <w:t>Telefonkanal</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4A7168" w14:textId="77777777" w:rsidR="005864C9" w:rsidRDefault="00000000">
            <w:r>
              <w:rPr>
                <w:sz w:val="20"/>
                <w:szCs w:val="20"/>
              </w:rPr>
              <w:t>Ja</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EDA4A2" w14:textId="77777777" w:rsidR="005864C9" w:rsidRDefault="00000000">
            <w:r>
              <w:rPr>
                <w:sz w:val="20"/>
                <w:szCs w:val="20"/>
              </w:rPr>
              <w:t>Nein</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D1AC74" w14:textId="77777777" w:rsidR="005864C9" w:rsidRDefault="00000000">
            <w:r>
              <w:rPr>
                <w:sz w:val="20"/>
                <w:szCs w:val="20"/>
              </w:rPr>
              <w:t>Nein</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D18A33" w14:textId="77777777" w:rsidR="005864C9" w:rsidRDefault="00000000">
            <w:r>
              <w:rPr>
                <w:sz w:val="20"/>
                <w:szCs w:val="20"/>
              </w:rPr>
              <w:t>Nein</w:t>
            </w:r>
          </w:p>
        </w:tc>
        <w:tc>
          <w:tcPr>
            <w:tcW w:w="140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AF98E0" w14:textId="77777777" w:rsidR="005864C9" w:rsidRDefault="00000000">
            <w:r>
              <w:rPr>
                <w:sz w:val="20"/>
                <w:szCs w:val="20"/>
              </w:rPr>
              <w:t>Nein</w:t>
            </w:r>
          </w:p>
        </w:tc>
      </w:tr>
      <w:tr w:rsidR="005864C9" w14:paraId="77322BC1"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BF7F9D" w14:textId="77777777" w:rsidR="005864C9" w:rsidRDefault="00000000">
            <w:r>
              <w:rPr>
                <w:sz w:val="20"/>
                <w:szCs w:val="20"/>
              </w:rPr>
              <w:t>Barrierefrei</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8F7929" w14:textId="77777777" w:rsidR="005864C9" w:rsidRDefault="00000000">
            <w:r>
              <w:rPr>
                <w:sz w:val="20"/>
                <w:szCs w:val="20"/>
              </w:rPr>
              <w:t>Ja (Sprache)</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27EC8B" w14:textId="77777777" w:rsidR="005864C9" w:rsidRDefault="00000000">
            <w:r>
              <w:rPr>
                <w:sz w:val="20"/>
                <w:szCs w:val="20"/>
              </w:rPr>
              <w:t>Nein</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AA5163" w14:textId="77777777" w:rsidR="005864C9" w:rsidRDefault="00000000">
            <w:r>
              <w:rPr>
                <w:sz w:val="20"/>
                <w:szCs w:val="20"/>
              </w:rPr>
              <w:t>Nein</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0101FA" w14:textId="77777777" w:rsidR="005864C9" w:rsidRDefault="00000000">
            <w:r>
              <w:rPr>
                <w:sz w:val="20"/>
                <w:szCs w:val="20"/>
              </w:rPr>
              <w:t>Nein</w:t>
            </w:r>
          </w:p>
        </w:tc>
        <w:tc>
          <w:tcPr>
            <w:tcW w:w="140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B5CACF" w14:textId="77777777" w:rsidR="005864C9" w:rsidRDefault="00000000">
            <w:r>
              <w:rPr>
                <w:sz w:val="20"/>
                <w:szCs w:val="20"/>
              </w:rPr>
              <w:t>Ja</w:t>
            </w:r>
          </w:p>
        </w:tc>
      </w:tr>
      <w:tr w:rsidR="005864C9" w14:paraId="0D8A48E2"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C59308" w14:textId="77777777" w:rsidR="005864C9" w:rsidRDefault="00000000">
            <w:r>
              <w:rPr>
                <w:sz w:val="20"/>
                <w:szCs w:val="20"/>
              </w:rPr>
              <w:t>DACH-Präsenz</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A686ED" w14:textId="77777777" w:rsidR="005864C9" w:rsidRDefault="00000000">
            <w:r>
              <w:rPr>
                <w:sz w:val="20"/>
                <w:szCs w:val="20"/>
              </w:rPr>
              <w:t>AT (geplant)</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9316F3" w14:textId="77777777" w:rsidR="005864C9" w:rsidRDefault="00000000">
            <w:r>
              <w:rPr>
                <w:sz w:val="20"/>
                <w:szCs w:val="20"/>
              </w:rPr>
              <w:t>DE, AT</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E454D9" w14:textId="77777777" w:rsidR="005864C9" w:rsidRDefault="00000000">
            <w:r>
              <w:rPr>
                <w:sz w:val="20"/>
                <w:szCs w:val="20"/>
              </w:rPr>
              <w:t>DE, AT</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97EA3E" w14:textId="77777777" w:rsidR="005864C9" w:rsidRDefault="00000000">
            <w:r>
              <w:rPr>
                <w:sz w:val="20"/>
                <w:szCs w:val="20"/>
              </w:rPr>
              <w:t>DE</w:t>
            </w:r>
          </w:p>
        </w:tc>
        <w:tc>
          <w:tcPr>
            <w:tcW w:w="140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020518" w14:textId="77777777" w:rsidR="005864C9" w:rsidRDefault="00000000">
            <w:r>
              <w:rPr>
                <w:sz w:val="20"/>
                <w:szCs w:val="20"/>
              </w:rPr>
              <w:t>DE, AT</w:t>
            </w:r>
          </w:p>
        </w:tc>
      </w:tr>
      <w:tr w:rsidR="005864C9" w14:paraId="7D86A274"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1AAD71" w14:textId="77777777" w:rsidR="005864C9" w:rsidRDefault="00000000">
            <w:r>
              <w:rPr>
                <w:sz w:val="20"/>
                <w:szCs w:val="20"/>
              </w:rPr>
              <w:t>Preis/Monat</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7C8963" w14:textId="77777777" w:rsidR="005864C9" w:rsidRDefault="00000000">
            <w:r>
              <w:rPr>
                <w:sz w:val="20"/>
                <w:szCs w:val="20"/>
              </w:rPr>
              <w:t>150–720 €</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AF83CA" w14:textId="77777777" w:rsidR="005864C9" w:rsidRDefault="00000000">
            <w:r>
              <w:rPr>
                <w:sz w:val="20"/>
                <w:szCs w:val="20"/>
              </w:rPr>
              <w:t>109–159 €</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5FBAA4" w14:textId="77777777" w:rsidR="005864C9" w:rsidRDefault="00000000">
            <w:r>
              <w:rPr>
                <w:sz w:val="20"/>
                <w:szCs w:val="20"/>
              </w:rPr>
              <w:t>ab 79 €</w:t>
            </w:r>
          </w:p>
        </w:tc>
        <w:tc>
          <w:tcPr>
            <w:tcW w:w="14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8812E6" w14:textId="77777777" w:rsidR="005864C9" w:rsidRDefault="00000000">
            <w:r>
              <w:rPr>
                <w:sz w:val="20"/>
                <w:szCs w:val="20"/>
              </w:rPr>
              <w:t>99–299 €</w:t>
            </w:r>
          </w:p>
        </w:tc>
        <w:tc>
          <w:tcPr>
            <w:tcW w:w="140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49DBEC" w14:textId="77777777" w:rsidR="005864C9" w:rsidRDefault="00000000">
            <w:r>
              <w:rPr>
                <w:sz w:val="20"/>
                <w:szCs w:val="20"/>
              </w:rPr>
              <w:t>k. A.</w:t>
            </w:r>
          </w:p>
        </w:tc>
      </w:tr>
    </w:tbl>
    <w:p w14:paraId="31134569" w14:textId="77777777" w:rsidR="005864C9" w:rsidRDefault="005864C9"/>
    <w:p w14:paraId="4B5A9DFE" w14:textId="77777777" w:rsidR="005864C9" w:rsidRDefault="00000000">
      <w:pPr>
        <w:spacing w:after="120"/>
      </w:pPr>
      <w:r>
        <w:rPr>
          <w:b/>
          <w:bCs/>
        </w:rPr>
        <w:t>Fazit Wettbewerbsanalyse</w:t>
      </w:r>
    </w:p>
    <w:p w14:paraId="6E6BF2BC" w14:textId="77777777" w:rsidR="005864C9" w:rsidRDefault="00000000">
      <w:pPr>
        <w:spacing w:after="120"/>
      </w:pPr>
      <w:r>
        <w:t>Alle direkten Wettbewerber sind formularbasiert – ein fundamental anderes Paradigma. Diese strukturellen Unterschiede sind keine Feature-Differenzen, sondern Architekturvorteile, die formularbasierte Wettbewerber nicht ohne kompletten Produktumbau replizieren können. CGM AmbulApps stellt durch den Vertriebsvorteil des größten PVS-</w:t>
      </w:r>
      <w:r>
        <w:lastRenderedPageBreak/>
        <w:t>Anbieters die höchste Markteintrittsbarriere dar. Die Differenzierung über systemimmanente Barrierefreiheit und native Mehrsprachigkeit ist daher strategisch entscheidend.</w:t>
      </w:r>
    </w:p>
    <w:p w14:paraId="3E4C11DB" w14:textId="77777777" w:rsidR="005864C9" w:rsidRDefault="00000000">
      <w:pPr>
        <w:spacing w:after="120"/>
      </w:pPr>
      <w:r>
        <w:rPr>
          <w:b/>
          <w:bCs/>
        </w:rPr>
        <w:t>Branchentrends</w:t>
      </w:r>
    </w:p>
    <w:p w14:paraId="0755C645" w14:textId="77777777" w:rsidR="005864C9" w:rsidRDefault="00000000">
      <w:pPr>
        <w:spacing w:after="120"/>
      </w:pPr>
      <w:r>
        <w:t>Administrationsbelastung steigt, Ärztemangel verschärft sich, eHealth-Strategie 2024–2030 treibt Digitalisierung, PVE-Ausbau (EU Recovery Fund: 100 Mio. EUR). Voice-AI-Markt wächst mit 37,79 % CAGR. LLMs ermöglichen natürliche Gespräche. US-Unicorns zeigen den Weg.</w:t>
      </w:r>
    </w:p>
    <w:p w14:paraId="00A3F207" w14:textId="77777777" w:rsidR="005864C9" w:rsidRDefault="00000000">
      <w:pPr>
        <w:pStyle w:val="berschrift1"/>
      </w:pPr>
      <w:bookmarkStart w:id="9" w:name="_Toc225250882"/>
      <w:r>
        <w:t>10. Der Marketingplan</w:t>
      </w:r>
      <w:bookmarkEnd w:id="9"/>
    </w:p>
    <w:p w14:paraId="2C88A96C" w14:textId="77777777" w:rsidR="005864C9" w:rsidRDefault="00000000">
      <w:pPr>
        <w:spacing w:after="120"/>
      </w:pPr>
      <w:r>
        <w:rPr>
          <w:b/>
          <w:bCs/>
        </w:rPr>
        <w:t>Positionierung</w:t>
      </w:r>
    </w:p>
    <w:p w14:paraId="11D85487" w14:textId="77777777" w:rsidR="005864C9" w:rsidRDefault="00000000">
      <w:pPr>
        <w:spacing w:after="120"/>
      </w:pPr>
      <w:r>
        <w:t>Anamnic positioniert sich als die einzige barrierefreie und mehrsprachige Alternative zu formularbasierter Anamnese. Der Fokus liegt auf: „Mehr Zeit für Medizin, weniger für Administration – und eine Lösung, die alle Patienten erreicht.“</w:t>
      </w:r>
    </w:p>
    <w:p w14:paraId="332F782D" w14:textId="77777777" w:rsidR="005864C9" w:rsidRDefault="00000000">
      <w:pPr>
        <w:spacing w:after="120"/>
      </w:pPr>
      <w:r>
        <w:rPr>
          <w:b/>
          <w:bCs/>
        </w:rPr>
        <w:t>Kernbotschaften</w:t>
      </w:r>
    </w:p>
    <w:p w14:paraId="3F223039" w14:textId="77777777" w:rsidR="005864C9" w:rsidRDefault="00000000">
      <w:pPr>
        <w:pStyle w:val="Listenabsatz"/>
        <w:numPr>
          <w:ilvl w:val="0"/>
          <w:numId w:val="2"/>
        </w:numPr>
        <w:spacing w:after="60"/>
      </w:pPr>
      <w:r>
        <w:t>Für Ärzte/Therapeuten: „Strukturierte Anamnese vor dem Termin. Mehr Zeit für Ihre Patienten.“</w:t>
      </w:r>
    </w:p>
    <w:p w14:paraId="1DA0E30C" w14:textId="77777777" w:rsidR="005864C9" w:rsidRDefault="00000000">
      <w:pPr>
        <w:pStyle w:val="Listenabsatz"/>
        <w:numPr>
          <w:ilvl w:val="0"/>
          <w:numId w:val="2"/>
        </w:numPr>
        <w:spacing w:after="60"/>
      </w:pPr>
      <w:r>
        <w:t>Für Praxismanager: „Messbare Effizienzsteigerung. Weniger Dokumentationsrückstau.“</w:t>
      </w:r>
    </w:p>
    <w:p w14:paraId="4033078B" w14:textId="77777777" w:rsidR="005864C9" w:rsidRDefault="00000000">
      <w:pPr>
        <w:pStyle w:val="Listenabsatz"/>
        <w:numPr>
          <w:ilvl w:val="0"/>
          <w:numId w:val="2"/>
        </w:numPr>
        <w:spacing w:after="120"/>
      </w:pPr>
      <w:r>
        <w:t>Für Patienten: „Einfach erzählen, was Sie haben. Keine Formulare, keine App.“</w:t>
      </w:r>
    </w:p>
    <w:p w14:paraId="00B54494" w14:textId="77777777" w:rsidR="005864C9" w:rsidRDefault="00000000">
      <w:pPr>
        <w:spacing w:after="120"/>
      </w:pPr>
      <w:r>
        <w:rPr>
          <w:b/>
          <w:bCs/>
        </w:rPr>
        <w:t>Kommunikationskanäle</w:t>
      </w:r>
    </w:p>
    <w:p w14:paraId="45149684" w14:textId="77777777" w:rsidR="005864C9" w:rsidRDefault="00000000">
      <w:pPr>
        <w:pStyle w:val="Listenabsatz"/>
        <w:numPr>
          <w:ilvl w:val="0"/>
          <w:numId w:val="2"/>
        </w:numPr>
        <w:spacing w:after="60"/>
      </w:pPr>
      <w:r>
        <w:t>Direkter Kontakt: Ärztekammer-Events, PVE-Netzwerktreffen, Healthcare-IT-Konferenzen</w:t>
      </w:r>
    </w:p>
    <w:p w14:paraId="41DF1B00" w14:textId="77777777" w:rsidR="005864C9" w:rsidRDefault="00000000">
      <w:pPr>
        <w:pStyle w:val="Listenabsatz"/>
        <w:numPr>
          <w:ilvl w:val="0"/>
          <w:numId w:val="2"/>
        </w:numPr>
        <w:spacing w:after="60"/>
      </w:pPr>
      <w:r>
        <w:t>Fachpublikationen: Gastbeiträge in Ärzte-Magazinen, Healthcare-IT-Medien</w:t>
      </w:r>
    </w:p>
    <w:p w14:paraId="271B9429" w14:textId="77777777" w:rsidR="005864C9" w:rsidRDefault="00000000">
      <w:pPr>
        <w:pStyle w:val="Listenabsatz"/>
        <w:numPr>
          <w:ilvl w:val="0"/>
          <w:numId w:val="2"/>
        </w:numPr>
        <w:spacing w:after="60"/>
      </w:pPr>
      <w:r>
        <w:t>LinkedIn: B2B-Kommunikation, Vernetzung mit Entscheidern</w:t>
      </w:r>
    </w:p>
    <w:p w14:paraId="680FB578" w14:textId="77777777" w:rsidR="005864C9" w:rsidRDefault="00000000">
      <w:pPr>
        <w:pStyle w:val="Listenabsatz"/>
        <w:numPr>
          <w:ilvl w:val="0"/>
          <w:numId w:val="2"/>
        </w:numPr>
        <w:spacing w:after="120"/>
      </w:pPr>
      <w:r>
        <w:t>Referral-Programm: Zufriedene Kunden empfehlen weiter</w:t>
      </w:r>
    </w:p>
    <w:p w14:paraId="3DB1AEDC" w14:textId="77777777" w:rsidR="005864C9" w:rsidRDefault="00000000">
      <w:pPr>
        <w:spacing w:after="120"/>
      </w:pPr>
      <w:r>
        <w:rPr>
          <w:b/>
          <w:bCs/>
        </w:rPr>
        <w:t>Vertriebsstrategie</w:t>
      </w:r>
    </w:p>
    <w:p w14:paraId="648E07D5" w14:textId="77777777" w:rsidR="005864C9" w:rsidRDefault="00000000">
      <w:pPr>
        <w:spacing w:after="120"/>
      </w:pPr>
      <w:r>
        <w:t>Direct Sales: Das erklärungsbedürftige Produkt erfordert Demo und persönliche Beratung. Der Vertriebsprozess umfasst: Awareness (Event, Empfehlung, LinkedIn), Interest (Erstes Gespräch), Demo (Live-Demonstration), Pilot (30–60 Tage kostenlos), Evaluation (gemeinsame Auswertung), Conversion (bezahltes Abo), Referral.</w:t>
      </w:r>
    </w:p>
    <w:p w14:paraId="37CF7562" w14:textId="77777777" w:rsidR="005864C9" w:rsidRDefault="00000000">
      <w:pPr>
        <w:spacing w:after="120"/>
      </w:pPr>
      <w:r>
        <w:rPr>
          <w:b/>
          <w:bCs/>
        </w:rPr>
        <w:t>Preisgestaltung (5 P’s)</w:t>
      </w:r>
    </w:p>
    <w:p w14:paraId="2CD705DF" w14:textId="77777777" w:rsidR="005864C9" w:rsidRDefault="00000000">
      <w:pPr>
        <w:spacing w:after="120"/>
      </w:pPr>
      <w:r>
        <w:t>Produkt: Voice-AI-Lösung für automatisierte Anamnese mit PDF- und FHIR-Export. Preis: Drei Pakete – Starter (150 EUR brutto/Monat), Professional (300 EUR brutto/Monat), Enterprise (720 EUR brutto/Monat). Promotion: Fachevents, LinkedIn, Gastbeiträge, Referral-Programm. Platzierung: Direct Sales, kostenlose Pilotphase als Türöffner. Personen: Gründer persönlich als Vertriebs- und Ansprechpartner.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26"/>
        <w:gridCol w:w="3000"/>
      </w:tblGrid>
      <w:tr w:rsidR="005864C9" w14:paraId="558BAA53" w14:textId="77777777">
        <w:tc>
          <w:tcPr>
            <w:tcW w:w="1800"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50090A9C" w14:textId="77777777" w:rsidR="005864C9" w:rsidRDefault="00000000">
            <w:r>
              <w:rPr>
                <w:b/>
                <w:bCs/>
                <w:color w:val="FFFFFF"/>
                <w:sz w:val="20"/>
                <w:szCs w:val="20"/>
              </w:rPr>
              <w:t>Paket</w:t>
            </w:r>
          </w:p>
        </w:tc>
        <w:tc>
          <w:tcPr>
            <w:tcW w:w="1800"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05E8F145" w14:textId="77777777" w:rsidR="005864C9" w:rsidRDefault="00000000">
            <w:r>
              <w:rPr>
                <w:b/>
                <w:bCs/>
                <w:color w:val="FFFFFF"/>
                <w:sz w:val="20"/>
                <w:szCs w:val="20"/>
              </w:rPr>
              <w:t>Preis/Monat</w:t>
            </w:r>
          </w:p>
        </w:tc>
        <w:tc>
          <w:tcPr>
            <w:tcW w:w="2426"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547C9B70" w14:textId="77777777" w:rsidR="005864C9" w:rsidRDefault="00000000">
            <w:r>
              <w:rPr>
                <w:b/>
                <w:bCs/>
                <w:color w:val="FFFFFF"/>
                <w:sz w:val="20"/>
                <w:szCs w:val="20"/>
              </w:rPr>
              <w:t>Zielgruppe</w:t>
            </w:r>
          </w:p>
        </w:tc>
        <w:tc>
          <w:tcPr>
            <w:tcW w:w="3000"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4B63FA71" w14:textId="77777777" w:rsidR="005864C9" w:rsidRDefault="00000000">
            <w:r>
              <w:rPr>
                <w:b/>
                <w:bCs/>
                <w:color w:val="FFFFFF"/>
                <w:sz w:val="20"/>
                <w:szCs w:val="20"/>
              </w:rPr>
              <w:t>Enthält</w:t>
            </w:r>
          </w:p>
        </w:tc>
      </w:tr>
      <w:tr w:rsidR="005864C9" w14:paraId="029BA0D0"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1213DB" w14:textId="77777777" w:rsidR="005864C9" w:rsidRDefault="00000000">
            <w:r>
              <w:rPr>
                <w:sz w:val="20"/>
                <w:szCs w:val="20"/>
              </w:rPr>
              <w:t>Starter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90B35E" w14:textId="77777777" w:rsidR="005864C9" w:rsidRDefault="00000000">
            <w:r>
              <w:rPr>
                <w:sz w:val="20"/>
                <w:szCs w:val="20"/>
              </w:rPr>
              <w:t>150 EUR brutto</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3DEBD3" w14:textId="77777777" w:rsidR="005864C9" w:rsidRDefault="00000000">
            <w:r>
              <w:rPr>
                <w:sz w:val="20"/>
                <w:szCs w:val="20"/>
              </w:rPr>
              <w:t>Einzelpraxen</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8CCCDA" w14:textId="77777777" w:rsidR="005864C9" w:rsidRDefault="00000000">
            <w:r>
              <w:rPr>
                <w:sz w:val="20"/>
                <w:szCs w:val="20"/>
              </w:rPr>
              <w:t>Begrenzte Anrufe, Standard-Logik, PDF-Export</w:t>
            </w:r>
          </w:p>
        </w:tc>
      </w:tr>
      <w:tr w:rsidR="005864C9" w14:paraId="340EDA0D"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750855" w14:textId="77777777" w:rsidR="005864C9" w:rsidRDefault="00000000">
            <w:r>
              <w:rPr>
                <w:sz w:val="20"/>
                <w:szCs w:val="20"/>
              </w:rPr>
              <w:t>Professional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CD6445" w14:textId="77777777" w:rsidR="005864C9" w:rsidRDefault="00000000">
            <w:r>
              <w:rPr>
                <w:sz w:val="20"/>
                <w:szCs w:val="20"/>
              </w:rPr>
              <w:t>300 EUR brutto</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8C8F2C" w14:textId="77777777" w:rsidR="005864C9" w:rsidRDefault="00000000">
            <w:r>
              <w:rPr>
                <w:sz w:val="20"/>
                <w:szCs w:val="20"/>
              </w:rPr>
              <w:t>Größere Praxen</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5D583C" w14:textId="77777777" w:rsidR="005864C9" w:rsidRDefault="00000000">
            <w:r>
              <w:rPr>
                <w:sz w:val="20"/>
                <w:szCs w:val="20"/>
              </w:rPr>
              <w:t>Mehr Anrufe, FHIR, PVS-Integration</w:t>
            </w:r>
          </w:p>
        </w:tc>
      </w:tr>
      <w:tr w:rsidR="005864C9" w:rsidRPr="00D45610" w14:paraId="42DE370D"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CFFFE9" w14:textId="77777777" w:rsidR="005864C9" w:rsidRDefault="00000000">
            <w:r>
              <w:rPr>
                <w:sz w:val="20"/>
                <w:szCs w:val="20"/>
              </w:rPr>
              <w:t>Enterprise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9969A9" w14:textId="77777777" w:rsidR="005864C9" w:rsidRDefault="00000000">
            <w:r>
              <w:rPr>
                <w:sz w:val="20"/>
                <w:szCs w:val="20"/>
              </w:rPr>
              <w:t>720 EUR brutto</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772DF7" w14:textId="77777777" w:rsidR="005864C9" w:rsidRDefault="00000000">
            <w:r>
              <w:rPr>
                <w:sz w:val="20"/>
                <w:szCs w:val="20"/>
              </w:rPr>
              <w:t>PVE, Kliniken</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2B5810" w14:textId="77777777" w:rsidR="005864C9" w:rsidRPr="00D474E1" w:rsidRDefault="00000000">
            <w:pPr>
              <w:rPr>
                <w:lang w:val="en-GB"/>
              </w:rPr>
            </w:pPr>
            <w:r>
              <w:rPr>
                <w:sz w:val="20"/>
                <w:szCs w:val="20"/>
                <w:lang w:val="en-GB"/>
              </w:rPr>
              <w:t>Multi-User, Custom, Priority Support</w:t>
            </w:r>
          </w:p>
        </w:tc>
      </w:tr>
    </w:tbl>
    <w:p w14:paraId="61F2D45F" w14:textId="77777777" w:rsidR="005864C9" w:rsidRPr="00D474E1" w:rsidRDefault="005864C9">
      <w:pPr>
        <w:rPr>
          <w:lang w:val="en-GB"/>
        </w:rPr>
      </w:pPr>
    </w:p>
    <w:p w14:paraId="5841483D" w14:textId="77777777" w:rsidR="005864C9" w:rsidRDefault="00000000">
      <w:pPr>
        <w:pStyle w:val="berschrift1"/>
      </w:pPr>
      <w:bookmarkStart w:id="10" w:name="_Toc225250883"/>
      <w:r>
        <w:lastRenderedPageBreak/>
        <w:t>11. Umsatz- und Ergebnisplanung</w:t>
      </w:r>
      <w:bookmarkEnd w:id="10"/>
    </w:p>
    <w:p w14:paraId="5B7D3416" w14:textId="77777777" w:rsidR="005864C9" w:rsidRDefault="00000000">
      <w:pPr>
        <w:spacing w:after="120"/>
      </w:pPr>
      <w:r>
        <w:rPr>
          <w:b/>
          <w:bCs/>
        </w:rPr>
        <w:t>Umsatzplanung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2410"/>
        <w:gridCol w:w="2410"/>
        <w:gridCol w:w="2400"/>
      </w:tblGrid>
      <w:tr w:rsidR="005864C9" w14:paraId="657FAF4E" w14:textId="77777777">
        <w:tc>
          <w:tcPr>
            <w:tcW w:w="1806"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6D44075B" w14:textId="77777777" w:rsidR="005864C9" w:rsidRDefault="00000000">
            <w:r>
              <w:rPr>
                <w:b/>
                <w:bCs/>
                <w:color w:val="FFFFFF"/>
                <w:sz w:val="20"/>
                <w:szCs w:val="20"/>
              </w:rPr>
              <w:t>Jahr</w:t>
            </w:r>
          </w:p>
        </w:tc>
        <w:tc>
          <w:tcPr>
            <w:tcW w:w="2410"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65DB2651" w14:textId="77777777" w:rsidR="005864C9" w:rsidRDefault="00000000">
            <w:r>
              <w:rPr>
                <w:b/>
                <w:bCs/>
                <w:color w:val="FFFFFF"/>
                <w:sz w:val="20"/>
                <w:szCs w:val="20"/>
              </w:rPr>
              <w:t>Kunden</w:t>
            </w:r>
          </w:p>
        </w:tc>
        <w:tc>
          <w:tcPr>
            <w:tcW w:w="2410"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2359DFCC" w14:textId="77777777" w:rsidR="005864C9" w:rsidRDefault="00000000">
            <w:r>
              <w:rPr>
                <w:b/>
                <w:bCs/>
                <w:color w:val="FFFFFF"/>
                <w:sz w:val="20"/>
                <w:szCs w:val="20"/>
              </w:rPr>
              <w:t>Umsatz (netto)</w:t>
            </w:r>
          </w:p>
        </w:tc>
        <w:tc>
          <w:tcPr>
            <w:tcW w:w="2400"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49EB5DF0" w14:textId="77777777" w:rsidR="005864C9" w:rsidRDefault="00000000">
            <w:r>
              <w:rPr>
                <w:b/>
                <w:bCs/>
                <w:color w:val="FFFFFF"/>
                <w:sz w:val="20"/>
                <w:szCs w:val="20"/>
              </w:rPr>
              <w:t>Anmerkung</w:t>
            </w:r>
          </w:p>
        </w:tc>
      </w:tr>
      <w:tr w:rsidR="005864C9" w14:paraId="411554CE" w14:textId="77777777">
        <w:tc>
          <w:tcPr>
            <w:tcW w:w="18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752B7C" w14:textId="77777777" w:rsidR="005864C9" w:rsidRDefault="00000000">
            <w:r>
              <w:rPr>
                <w:sz w:val="20"/>
                <w:szCs w:val="20"/>
              </w:rPr>
              <w:t>GJ1</w:t>
            </w:r>
          </w:p>
        </w:tc>
        <w:tc>
          <w:tcPr>
            <w:tcW w:w="24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122052" w14:textId="77777777" w:rsidR="005864C9" w:rsidRDefault="00000000">
            <w:r>
              <w:rPr>
                <w:sz w:val="20"/>
                <w:szCs w:val="20"/>
              </w:rPr>
              <w:t>~19</w:t>
            </w:r>
          </w:p>
        </w:tc>
        <w:tc>
          <w:tcPr>
            <w:tcW w:w="24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6EAF65" w14:textId="77777777" w:rsidR="005864C9" w:rsidRDefault="00000000">
            <w:r>
              <w:rPr>
                <w:sz w:val="20"/>
                <w:szCs w:val="20"/>
              </w:rPr>
              <w:t>22.300 EUR</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4BAC15" w14:textId="77777777" w:rsidR="005864C9" w:rsidRDefault="00000000">
            <w:r>
              <w:rPr>
                <w:sz w:val="20"/>
                <w:szCs w:val="20"/>
              </w:rPr>
              <w:t>Pilotphase + Vertriebsstart</w:t>
            </w:r>
          </w:p>
        </w:tc>
      </w:tr>
      <w:tr w:rsidR="005864C9" w14:paraId="5A5C8760" w14:textId="77777777">
        <w:tc>
          <w:tcPr>
            <w:tcW w:w="18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633EFF" w14:textId="77777777" w:rsidR="005864C9" w:rsidRDefault="00000000">
            <w:r>
              <w:rPr>
                <w:sz w:val="20"/>
                <w:szCs w:val="20"/>
              </w:rPr>
              <w:t>GJ2</w:t>
            </w:r>
          </w:p>
        </w:tc>
        <w:tc>
          <w:tcPr>
            <w:tcW w:w="24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74A682" w14:textId="77777777" w:rsidR="005864C9" w:rsidRDefault="00000000">
            <w:r>
              <w:rPr>
                <w:sz w:val="20"/>
                <w:szCs w:val="20"/>
              </w:rPr>
              <w:t>~42</w:t>
            </w:r>
          </w:p>
        </w:tc>
        <w:tc>
          <w:tcPr>
            <w:tcW w:w="24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24BC52" w14:textId="77777777" w:rsidR="005864C9" w:rsidRDefault="00000000">
            <w:r>
              <w:rPr>
                <w:sz w:val="20"/>
                <w:szCs w:val="20"/>
              </w:rPr>
              <w:t>87.350 EUR</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594943" w14:textId="618BC350" w:rsidR="005864C9" w:rsidRDefault="00940DF7">
            <w:r>
              <w:rPr>
                <w:sz w:val="20"/>
                <w:szCs w:val="20"/>
              </w:rPr>
              <w:t>Skalierung</w:t>
            </w:r>
          </w:p>
        </w:tc>
      </w:tr>
    </w:tbl>
    <w:p w14:paraId="644FB2CB" w14:textId="77777777" w:rsidR="005864C9" w:rsidRDefault="005864C9"/>
    <w:p w14:paraId="608AF67A" w14:textId="77777777" w:rsidR="005864C9" w:rsidRDefault="00000000">
      <w:pPr>
        <w:spacing w:after="120"/>
      </w:pPr>
      <w:r>
        <w:t>Konservative Annahmen gemäß EA-Prognose (realistisches Szenario). Zusätzliches Upside-Potenzial durch Fachbereichs-Module (+49–99 EUR/Monat), Mehrsprachigkeit (+29–49 EUR/Monat) und Volumentarife für größere Einrichtungen.</w:t>
      </w:r>
    </w:p>
    <w:p w14:paraId="4E1E9344" w14:textId="77777777" w:rsidR="005864C9" w:rsidRDefault="00000000">
      <w:pPr>
        <w:spacing w:after="120"/>
      </w:pPr>
      <w:r>
        <w:rPr>
          <w:b/>
          <w:bCs/>
        </w:rPr>
        <w:t>Plan-Gewinn- und Verlustrechnung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6"/>
        <w:gridCol w:w="1806"/>
        <w:gridCol w:w="1806"/>
        <w:gridCol w:w="1802"/>
      </w:tblGrid>
      <w:tr w:rsidR="005864C9" w14:paraId="5E2DAD86" w14:textId="77777777">
        <w:tc>
          <w:tcPr>
            <w:tcW w:w="1806"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06047598" w14:textId="77777777" w:rsidR="005864C9" w:rsidRDefault="00000000">
            <w:r>
              <w:rPr>
                <w:b/>
                <w:bCs/>
                <w:color w:val="FFFFFF"/>
                <w:sz w:val="20"/>
                <w:szCs w:val="20"/>
              </w:rPr>
              <w:t>Jahr</w:t>
            </w:r>
          </w:p>
        </w:tc>
        <w:tc>
          <w:tcPr>
            <w:tcW w:w="1806"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741FEC2E" w14:textId="77777777" w:rsidR="005864C9" w:rsidRDefault="00000000">
            <w:r>
              <w:rPr>
                <w:b/>
                <w:bCs/>
                <w:color w:val="FFFFFF"/>
                <w:sz w:val="20"/>
                <w:szCs w:val="20"/>
              </w:rPr>
              <w:t>Umsatz (netto)</w:t>
            </w:r>
          </w:p>
        </w:tc>
        <w:tc>
          <w:tcPr>
            <w:tcW w:w="1806"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07B4A81C" w14:textId="77777777" w:rsidR="005864C9" w:rsidRDefault="00000000">
            <w:r>
              <w:rPr>
                <w:b/>
                <w:bCs/>
                <w:color w:val="FFFFFF"/>
                <w:sz w:val="20"/>
                <w:szCs w:val="20"/>
              </w:rPr>
              <w:t>Kosten</w:t>
            </w:r>
          </w:p>
        </w:tc>
        <w:tc>
          <w:tcPr>
            <w:tcW w:w="1806"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38A1F657" w14:textId="77777777" w:rsidR="005864C9" w:rsidRDefault="00000000">
            <w:r>
              <w:rPr>
                <w:b/>
                <w:bCs/>
                <w:color w:val="FFFFFF"/>
                <w:sz w:val="20"/>
                <w:szCs w:val="20"/>
              </w:rPr>
              <w:t>EBIT</w:t>
            </w:r>
          </w:p>
        </w:tc>
        <w:tc>
          <w:tcPr>
            <w:tcW w:w="1802"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38743BFA" w14:textId="77777777" w:rsidR="005864C9" w:rsidRDefault="00000000">
            <w:r>
              <w:rPr>
                <w:b/>
                <w:bCs/>
                <w:color w:val="FFFFFF"/>
                <w:sz w:val="20"/>
                <w:szCs w:val="20"/>
              </w:rPr>
              <w:t>Kumuliert</w:t>
            </w:r>
          </w:p>
        </w:tc>
      </w:tr>
      <w:tr w:rsidR="005864C9" w14:paraId="6F336A5E" w14:textId="77777777">
        <w:tc>
          <w:tcPr>
            <w:tcW w:w="18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66E75E" w14:textId="77777777" w:rsidR="005864C9" w:rsidRDefault="00000000">
            <w:r>
              <w:rPr>
                <w:sz w:val="20"/>
                <w:szCs w:val="20"/>
              </w:rPr>
              <w:t>GJ1</w:t>
            </w:r>
          </w:p>
        </w:tc>
        <w:tc>
          <w:tcPr>
            <w:tcW w:w="18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C6B407" w14:textId="77777777" w:rsidR="005864C9" w:rsidRDefault="00000000">
            <w:r>
              <w:rPr>
                <w:sz w:val="20"/>
                <w:szCs w:val="20"/>
              </w:rPr>
              <w:t>22.300 EUR</w:t>
            </w:r>
          </w:p>
        </w:tc>
        <w:tc>
          <w:tcPr>
            <w:tcW w:w="18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F530D5" w14:textId="77777777" w:rsidR="005864C9" w:rsidRDefault="00000000">
            <w:r>
              <w:rPr>
                <w:sz w:val="20"/>
                <w:szCs w:val="20"/>
              </w:rPr>
              <w:t>10.790 EUR</w:t>
            </w:r>
          </w:p>
        </w:tc>
        <w:tc>
          <w:tcPr>
            <w:tcW w:w="18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5F2F60" w14:textId="77777777" w:rsidR="005864C9" w:rsidRDefault="00000000">
            <w:r>
              <w:rPr>
                <w:sz w:val="20"/>
                <w:szCs w:val="20"/>
              </w:rPr>
              <w:t>+11.510 EUR</w:t>
            </w:r>
          </w:p>
        </w:tc>
        <w:tc>
          <w:tcPr>
            <w:tcW w:w="180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A9411A" w14:textId="77777777" w:rsidR="005864C9" w:rsidRDefault="00000000">
            <w:r>
              <w:rPr>
                <w:sz w:val="20"/>
                <w:szCs w:val="20"/>
              </w:rPr>
              <w:t>+11.510 EUR</w:t>
            </w:r>
          </w:p>
        </w:tc>
      </w:tr>
      <w:tr w:rsidR="005864C9" w14:paraId="513E2726" w14:textId="77777777">
        <w:tc>
          <w:tcPr>
            <w:tcW w:w="18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8495E1" w14:textId="77777777" w:rsidR="005864C9" w:rsidRDefault="00000000">
            <w:r>
              <w:rPr>
                <w:sz w:val="20"/>
                <w:szCs w:val="20"/>
              </w:rPr>
              <w:t>GJ2</w:t>
            </w:r>
          </w:p>
        </w:tc>
        <w:tc>
          <w:tcPr>
            <w:tcW w:w="18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76AAC9" w14:textId="77777777" w:rsidR="005864C9" w:rsidRDefault="00000000">
            <w:r>
              <w:rPr>
                <w:sz w:val="20"/>
                <w:szCs w:val="20"/>
              </w:rPr>
              <w:t>87.350 EUR</w:t>
            </w:r>
          </w:p>
        </w:tc>
        <w:tc>
          <w:tcPr>
            <w:tcW w:w="18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82B6E4" w14:textId="77777777" w:rsidR="005864C9" w:rsidRDefault="00000000">
            <w:r>
              <w:rPr>
                <w:sz w:val="20"/>
                <w:szCs w:val="20"/>
              </w:rPr>
              <w:t>20.190 EUR</w:t>
            </w:r>
          </w:p>
        </w:tc>
        <w:tc>
          <w:tcPr>
            <w:tcW w:w="18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AF0272" w14:textId="77777777" w:rsidR="005864C9" w:rsidRDefault="00000000">
            <w:r>
              <w:rPr>
                <w:sz w:val="20"/>
                <w:szCs w:val="20"/>
              </w:rPr>
              <w:t>+67.160 EUR</w:t>
            </w:r>
          </w:p>
        </w:tc>
        <w:tc>
          <w:tcPr>
            <w:tcW w:w="180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FDC366" w14:textId="77777777" w:rsidR="005864C9" w:rsidRDefault="00000000">
            <w:r>
              <w:rPr>
                <w:sz w:val="20"/>
                <w:szCs w:val="20"/>
              </w:rPr>
              <w:t>+78.670 EUR</w:t>
            </w:r>
          </w:p>
        </w:tc>
      </w:tr>
    </w:tbl>
    <w:p w14:paraId="7B136ED4" w14:textId="77777777" w:rsidR="005864C9" w:rsidRDefault="005864C9"/>
    <w:p w14:paraId="338FA69D" w14:textId="77777777" w:rsidR="005864C9" w:rsidRDefault="00000000">
      <w:pPr>
        <w:spacing w:after="120"/>
      </w:pPr>
      <w:r>
        <w:t>Operativer Break-even bereits im ersten Geschäftsjahr (GJ1). Kumulative Profitabilität ab GJ1.</w:t>
      </w:r>
    </w:p>
    <w:p w14:paraId="28F7A895" w14:textId="77777777" w:rsidR="005864C9" w:rsidRDefault="00000000">
      <w:pPr>
        <w:pStyle w:val="berschrift1"/>
      </w:pPr>
      <w:bookmarkStart w:id="11" w:name="_Toc225250884"/>
      <w:r>
        <w:t>12. Kostenrechnung – Kostenplanung</w:t>
      </w:r>
      <w:bookmarkEnd w:id="11"/>
    </w:p>
    <w:p w14:paraId="400B23E9" w14:textId="77777777" w:rsidR="005864C9" w:rsidRDefault="00000000">
      <w:pPr>
        <w:pStyle w:val="berschrift2"/>
      </w:pPr>
      <w:bookmarkStart w:id="12" w:name="_Toc225250885"/>
      <w:r>
        <w:t>a. Einmalige Kosten</w:t>
      </w:r>
      <w:bookmarkEnd w:id="12"/>
    </w:p>
    <w:p w14:paraId="066D7BF0" w14:textId="77777777" w:rsidR="005864C9" w:rsidRDefault="00000000">
      <w:pPr>
        <w:pStyle w:val="Listenabsatz"/>
        <w:numPr>
          <w:ilvl w:val="0"/>
          <w:numId w:val="2"/>
        </w:numPr>
        <w:spacing w:after="60"/>
      </w:pPr>
      <w:r>
        <w:t>GmbH-Gründung (Notar, Firmenbuch): ca. 1.500 EUR</w:t>
      </w:r>
    </w:p>
    <w:p w14:paraId="313854F2" w14:textId="77777777" w:rsidR="005864C9" w:rsidRDefault="00000000">
      <w:pPr>
        <w:pStyle w:val="Listenabsatz"/>
        <w:numPr>
          <w:ilvl w:val="0"/>
          <w:numId w:val="2"/>
        </w:numPr>
        <w:spacing w:after="60"/>
      </w:pPr>
      <w:r>
        <w:t>Stammkapitaleinzahlung: 15.000 EUR</w:t>
      </w:r>
    </w:p>
    <w:p w14:paraId="591F8893" w14:textId="77777777" w:rsidR="005864C9" w:rsidRDefault="00000000">
      <w:pPr>
        <w:pStyle w:val="Listenabsatz"/>
        <w:numPr>
          <w:ilvl w:val="0"/>
          <w:numId w:val="2"/>
        </w:numPr>
        <w:spacing w:after="120"/>
      </w:pPr>
      <w:r>
        <w:t>Hardware (Computer): 1.500 EUR</w:t>
      </w:r>
    </w:p>
    <w:p w14:paraId="29C7663E" w14:textId="77777777" w:rsidR="005864C9" w:rsidRDefault="00000000">
      <w:pPr>
        <w:spacing w:after="120"/>
      </w:pPr>
      <w:r>
        <w:t>Keine Kosten für MDR-Zertifizierung, da Anamnic als Dokumentationssoftware kein Medizinprodukt ist. Keine Raumkosten dank Home-Office. Behördliche Gründungskosten werden in Österreich durch das NEUfÖG rückerstattet.</w:t>
      </w:r>
      <w:r>
        <w:rPr>
          <w:rStyle w:val="Funotenzeichen"/>
        </w:rPr>
        <w:footnoteReference w:id="20"/>
      </w:r>
    </w:p>
    <w:p w14:paraId="61AA0F25" w14:textId="77777777" w:rsidR="005864C9" w:rsidRDefault="00000000">
      <w:pPr>
        <w:pStyle w:val="berschrift2"/>
      </w:pPr>
      <w:bookmarkStart w:id="13" w:name="_Toc225250886"/>
      <w:r>
        <w:t>b. Laufende Kosten</w:t>
      </w:r>
      <w:bookmarkEnd w:id="13"/>
    </w:p>
    <w:tbl>
      <w:tblPr>
        <w:tblW w:w="6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0"/>
        <w:gridCol w:w="1504"/>
        <w:gridCol w:w="1504"/>
      </w:tblGrid>
      <w:tr w:rsidR="00940DF7" w14:paraId="4C95BABB" w14:textId="77777777" w:rsidTr="00940DF7">
        <w:tc>
          <w:tcPr>
            <w:tcW w:w="3010"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5413E83D" w14:textId="77777777" w:rsidR="00940DF7" w:rsidRDefault="00940DF7">
            <w:r>
              <w:rPr>
                <w:b/>
                <w:bCs/>
                <w:color w:val="FFFFFF"/>
                <w:sz w:val="20"/>
                <w:szCs w:val="20"/>
              </w:rPr>
              <w:t>Kostenart</w:t>
            </w:r>
          </w:p>
        </w:tc>
        <w:tc>
          <w:tcPr>
            <w:tcW w:w="1504"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1AC15849" w14:textId="77777777" w:rsidR="00940DF7" w:rsidRDefault="00940DF7">
            <w:r>
              <w:rPr>
                <w:b/>
                <w:bCs/>
                <w:color w:val="FFFFFF"/>
                <w:sz w:val="20"/>
                <w:szCs w:val="20"/>
              </w:rPr>
              <w:t>GJ1</w:t>
            </w:r>
          </w:p>
        </w:tc>
        <w:tc>
          <w:tcPr>
            <w:tcW w:w="1504"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0664A01F" w14:textId="77777777" w:rsidR="00940DF7" w:rsidRDefault="00940DF7">
            <w:r>
              <w:rPr>
                <w:b/>
                <w:bCs/>
                <w:color w:val="FFFFFF"/>
                <w:sz w:val="20"/>
                <w:szCs w:val="20"/>
              </w:rPr>
              <w:t>GJ2</w:t>
            </w:r>
          </w:p>
        </w:tc>
      </w:tr>
      <w:tr w:rsidR="00940DF7" w14:paraId="0CD7DA2C" w14:textId="77777777" w:rsidTr="00940DF7">
        <w:tc>
          <w:tcPr>
            <w:tcW w:w="30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23CC26" w14:textId="77777777" w:rsidR="00940DF7" w:rsidRDefault="00940DF7">
            <w:r>
              <w:rPr>
                <w:sz w:val="20"/>
                <w:szCs w:val="20"/>
              </w:rPr>
              <w:t>Software/APIs/Hosting</w:t>
            </w:r>
          </w:p>
        </w:tc>
        <w:tc>
          <w:tcPr>
            <w:tcW w:w="15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5BC6AA" w14:textId="77777777" w:rsidR="00940DF7" w:rsidRDefault="00940DF7">
            <w:r>
              <w:rPr>
                <w:sz w:val="20"/>
                <w:szCs w:val="20"/>
              </w:rPr>
              <w:t>4.400 €</w:t>
            </w:r>
          </w:p>
        </w:tc>
        <w:tc>
          <w:tcPr>
            <w:tcW w:w="15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E14113" w14:textId="77777777" w:rsidR="00940DF7" w:rsidRDefault="00940DF7">
            <w:r>
              <w:rPr>
                <w:sz w:val="20"/>
                <w:szCs w:val="20"/>
              </w:rPr>
              <w:t>8.650 €</w:t>
            </w:r>
          </w:p>
        </w:tc>
      </w:tr>
      <w:tr w:rsidR="00940DF7" w14:paraId="1E5E9D0F" w14:textId="77777777" w:rsidTr="00940DF7">
        <w:tc>
          <w:tcPr>
            <w:tcW w:w="30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D98806" w14:textId="77777777" w:rsidR="00940DF7" w:rsidRDefault="00940DF7">
            <w:r>
              <w:rPr>
                <w:sz w:val="20"/>
                <w:szCs w:val="20"/>
              </w:rPr>
              <w:t>Versicherungen</w:t>
            </w:r>
          </w:p>
        </w:tc>
        <w:tc>
          <w:tcPr>
            <w:tcW w:w="15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44374D" w14:textId="77777777" w:rsidR="00940DF7" w:rsidRDefault="00940DF7">
            <w:r>
              <w:rPr>
                <w:sz w:val="20"/>
                <w:szCs w:val="20"/>
              </w:rPr>
              <w:t>1.750 €</w:t>
            </w:r>
          </w:p>
        </w:tc>
        <w:tc>
          <w:tcPr>
            <w:tcW w:w="15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0A7F1B" w14:textId="77777777" w:rsidR="00940DF7" w:rsidRDefault="00940DF7">
            <w:r>
              <w:rPr>
                <w:sz w:val="20"/>
                <w:szCs w:val="20"/>
              </w:rPr>
              <w:t>3.000 €</w:t>
            </w:r>
          </w:p>
        </w:tc>
      </w:tr>
      <w:tr w:rsidR="00940DF7" w14:paraId="33240DF0" w14:textId="77777777" w:rsidTr="00940DF7">
        <w:tc>
          <w:tcPr>
            <w:tcW w:w="30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BBFEA0" w14:textId="77777777" w:rsidR="00940DF7" w:rsidRDefault="00940DF7">
            <w:r>
              <w:rPr>
                <w:sz w:val="20"/>
                <w:szCs w:val="20"/>
              </w:rPr>
              <w:t>Steuer-/Rechtsberatung</w:t>
            </w:r>
          </w:p>
        </w:tc>
        <w:tc>
          <w:tcPr>
            <w:tcW w:w="15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24001C" w14:textId="77777777" w:rsidR="00940DF7" w:rsidRDefault="00940DF7">
            <w:r>
              <w:rPr>
                <w:sz w:val="20"/>
                <w:szCs w:val="20"/>
              </w:rPr>
              <w:t>1.500 €</w:t>
            </w:r>
          </w:p>
        </w:tc>
        <w:tc>
          <w:tcPr>
            <w:tcW w:w="15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253704" w14:textId="77777777" w:rsidR="00940DF7" w:rsidRDefault="00940DF7">
            <w:r>
              <w:rPr>
                <w:sz w:val="20"/>
                <w:szCs w:val="20"/>
              </w:rPr>
              <w:t>1.500 €</w:t>
            </w:r>
          </w:p>
        </w:tc>
      </w:tr>
      <w:tr w:rsidR="00940DF7" w14:paraId="34EC38B2" w14:textId="77777777" w:rsidTr="00940DF7">
        <w:tc>
          <w:tcPr>
            <w:tcW w:w="30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378828" w14:textId="77777777" w:rsidR="00940DF7" w:rsidRDefault="00940DF7">
            <w:r>
              <w:rPr>
                <w:sz w:val="20"/>
                <w:szCs w:val="20"/>
              </w:rPr>
              <w:t>Werbung/Marketing</w:t>
            </w:r>
          </w:p>
        </w:tc>
        <w:tc>
          <w:tcPr>
            <w:tcW w:w="15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6F2373" w14:textId="77777777" w:rsidR="00940DF7" w:rsidRDefault="00940DF7">
            <w:r>
              <w:rPr>
                <w:sz w:val="20"/>
                <w:szCs w:val="20"/>
              </w:rPr>
              <w:t>950 €</w:t>
            </w:r>
          </w:p>
        </w:tc>
        <w:tc>
          <w:tcPr>
            <w:tcW w:w="15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FC01A" w14:textId="77777777" w:rsidR="00940DF7" w:rsidRDefault="00940DF7">
            <w:r>
              <w:rPr>
                <w:sz w:val="20"/>
                <w:szCs w:val="20"/>
              </w:rPr>
              <w:t>1.900 €</w:t>
            </w:r>
          </w:p>
        </w:tc>
      </w:tr>
      <w:tr w:rsidR="00940DF7" w14:paraId="776A576D" w14:textId="77777777" w:rsidTr="00940DF7">
        <w:tc>
          <w:tcPr>
            <w:tcW w:w="30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47D8F5" w14:textId="77777777" w:rsidR="00940DF7" w:rsidRDefault="00940DF7">
            <w:r>
              <w:rPr>
                <w:sz w:val="20"/>
                <w:szCs w:val="20"/>
              </w:rPr>
              <w:t>Reise/Telefon/Sonstiges</w:t>
            </w:r>
          </w:p>
        </w:tc>
        <w:tc>
          <w:tcPr>
            <w:tcW w:w="15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5B161C" w14:textId="77777777" w:rsidR="00940DF7" w:rsidRDefault="00940DF7">
            <w:r>
              <w:rPr>
                <w:sz w:val="20"/>
                <w:szCs w:val="20"/>
              </w:rPr>
              <w:t>1.190 €</w:t>
            </w:r>
          </w:p>
        </w:tc>
        <w:tc>
          <w:tcPr>
            <w:tcW w:w="15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6BE141" w14:textId="77777777" w:rsidR="00940DF7" w:rsidRDefault="00940DF7">
            <w:r>
              <w:rPr>
                <w:sz w:val="20"/>
                <w:szCs w:val="20"/>
              </w:rPr>
              <w:t>2.140 €</w:t>
            </w:r>
          </w:p>
        </w:tc>
      </w:tr>
      <w:tr w:rsidR="00940DF7" w14:paraId="083B57F3" w14:textId="77777777" w:rsidTr="00940DF7">
        <w:tc>
          <w:tcPr>
            <w:tcW w:w="3010" w:type="dxa"/>
            <w:tcBorders>
              <w:top w:val="single" w:sz="1" w:space="0" w:color="999999"/>
              <w:left w:val="single" w:sz="1" w:space="0" w:color="999999"/>
              <w:bottom w:val="single" w:sz="1" w:space="0" w:color="999999"/>
              <w:right w:val="single" w:sz="1" w:space="0" w:color="999999"/>
            </w:tcBorders>
            <w:shd w:val="clear" w:color="auto" w:fill="F0F0F0"/>
            <w:tcMar>
              <w:top w:w="60" w:type="dxa"/>
              <w:left w:w="100" w:type="dxa"/>
              <w:bottom w:w="60" w:type="dxa"/>
              <w:right w:w="100" w:type="dxa"/>
            </w:tcMar>
          </w:tcPr>
          <w:p w14:paraId="45A8E75C" w14:textId="77777777" w:rsidR="00940DF7" w:rsidRDefault="00940DF7">
            <w:r>
              <w:rPr>
                <w:b/>
                <w:bCs/>
                <w:sz w:val="20"/>
                <w:szCs w:val="20"/>
              </w:rPr>
              <w:t>Gesamt</w:t>
            </w:r>
          </w:p>
        </w:tc>
        <w:tc>
          <w:tcPr>
            <w:tcW w:w="1504" w:type="dxa"/>
            <w:tcBorders>
              <w:top w:val="single" w:sz="1" w:space="0" w:color="999999"/>
              <w:left w:val="single" w:sz="1" w:space="0" w:color="999999"/>
              <w:bottom w:val="single" w:sz="1" w:space="0" w:color="999999"/>
              <w:right w:val="single" w:sz="1" w:space="0" w:color="999999"/>
            </w:tcBorders>
            <w:shd w:val="clear" w:color="auto" w:fill="F0F0F0"/>
            <w:tcMar>
              <w:top w:w="60" w:type="dxa"/>
              <w:left w:w="100" w:type="dxa"/>
              <w:bottom w:w="60" w:type="dxa"/>
              <w:right w:w="100" w:type="dxa"/>
            </w:tcMar>
          </w:tcPr>
          <w:p w14:paraId="7BC08A83" w14:textId="77777777" w:rsidR="00940DF7" w:rsidRDefault="00940DF7">
            <w:r>
              <w:rPr>
                <w:b/>
                <w:bCs/>
                <w:sz w:val="20"/>
                <w:szCs w:val="20"/>
              </w:rPr>
              <w:t>~10.790 €</w:t>
            </w:r>
          </w:p>
        </w:tc>
        <w:tc>
          <w:tcPr>
            <w:tcW w:w="1504" w:type="dxa"/>
            <w:tcBorders>
              <w:top w:val="single" w:sz="1" w:space="0" w:color="999999"/>
              <w:left w:val="single" w:sz="1" w:space="0" w:color="999999"/>
              <w:bottom w:val="single" w:sz="1" w:space="0" w:color="999999"/>
              <w:right w:val="single" w:sz="1" w:space="0" w:color="999999"/>
            </w:tcBorders>
            <w:shd w:val="clear" w:color="auto" w:fill="F0F0F0"/>
            <w:tcMar>
              <w:top w:w="60" w:type="dxa"/>
              <w:left w:w="100" w:type="dxa"/>
              <w:bottom w:w="60" w:type="dxa"/>
              <w:right w:w="100" w:type="dxa"/>
            </w:tcMar>
          </w:tcPr>
          <w:p w14:paraId="248EB87B" w14:textId="77777777" w:rsidR="00940DF7" w:rsidRDefault="00940DF7">
            <w:r>
              <w:rPr>
                <w:b/>
                <w:bCs/>
                <w:sz w:val="20"/>
                <w:szCs w:val="20"/>
              </w:rPr>
              <w:t>~20.190 €</w:t>
            </w:r>
          </w:p>
        </w:tc>
      </w:tr>
    </w:tbl>
    <w:p w14:paraId="00DF99E7" w14:textId="77777777" w:rsidR="00940DF7" w:rsidRDefault="00940DF7">
      <w:pPr>
        <w:spacing w:after="120"/>
        <w:rPr>
          <w:i/>
          <w:iCs/>
          <w:sz w:val="18"/>
          <w:szCs w:val="18"/>
        </w:rPr>
      </w:pPr>
    </w:p>
    <w:p w14:paraId="67A9CBC8" w14:textId="6C39CFA3" w:rsidR="005864C9" w:rsidRDefault="00000000">
      <w:pPr>
        <w:spacing w:after="120"/>
      </w:pPr>
      <w:r>
        <w:rPr>
          <w:i/>
          <w:iCs/>
          <w:sz w:val="18"/>
          <w:szCs w:val="18"/>
        </w:rPr>
        <w:t>* GJ1 = 1. Geschäftsjahr (Aug 2026 – Jul 2027), GJ2 = 2. Geschäftsjahr (Aug 2027 – Jul 2028). Ohne GF-Bezüge.</w:t>
      </w:r>
    </w:p>
    <w:p w14:paraId="77FBB4EF" w14:textId="77777777" w:rsidR="005864C9" w:rsidRDefault="00000000">
      <w:pPr>
        <w:pStyle w:val="berschrift1"/>
      </w:pPr>
      <w:bookmarkStart w:id="14" w:name="_Toc225250887"/>
      <w:r>
        <w:lastRenderedPageBreak/>
        <w:t>13. Der Investitionsplan</w:t>
      </w:r>
      <w:bookmarkEnd w:id="14"/>
    </w:p>
    <w:p w14:paraId="0E5929A4" w14:textId="77777777" w:rsidR="005864C9" w:rsidRDefault="00000000">
      <w:pPr>
        <w:spacing w:after="120"/>
      </w:pPr>
      <w:r>
        <w:t>Die Investitionsplanung ist bewusst schlank gehalten, da Anamnic ein reines Softwareunternehmen mit Cloud-basierter Infrastruktur ist. Es sind keine langfristigen Investitionen in Grundstücke, Gebäude, Fahrzeuge oder Maschinen erforderlich.</w:t>
      </w:r>
    </w:p>
    <w:p w14:paraId="0D9F32F3" w14:textId="77777777" w:rsidR="005864C9" w:rsidRDefault="00000000">
      <w:pPr>
        <w:spacing w:after="120"/>
      </w:pPr>
      <w:r>
        <w:rPr>
          <w:b/>
          <w:bCs/>
        </w:rPr>
        <w:t>Investitionen 2026</w:t>
      </w:r>
    </w:p>
    <w:p w14:paraId="2F725ADC" w14:textId="77777777" w:rsidR="005864C9" w:rsidRDefault="00000000">
      <w:pPr>
        <w:pStyle w:val="Listenabsatz"/>
        <w:numPr>
          <w:ilvl w:val="0"/>
          <w:numId w:val="2"/>
        </w:numPr>
        <w:spacing w:after="60"/>
      </w:pPr>
      <w:r>
        <w:t>Hardware (Computer/Laptop): 1.500 EUR (Nutzungsdauer 3 Jahre)</w:t>
      </w:r>
    </w:p>
    <w:p w14:paraId="511487CE" w14:textId="77777777" w:rsidR="005864C9" w:rsidRDefault="00000000">
      <w:pPr>
        <w:pStyle w:val="Listenabsatz"/>
        <w:numPr>
          <w:ilvl w:val="0"/>
          <w:numId w:val="2"/>
        </w:numPr>
        <w:spacing w:after="120"/>
      </w:pPr>
      <w:r>
        <w:t>Software-Lizenzen und Entwicklungstools: In laufenden Kosten enthalten (nutzungsbasiert)</w:t>
      </w:r>
    </w:p>
    <w:p w14:paraId="1BAADA88" w14:textId="77777777" w:rsidR="005864C9" w:rsidRDefault="00000000">
      <w:pPr>
        <w:spacing w:after="120"/>
      </w:pPr>
      <w:r>
        <w:t>Kurzfristige Investitionen (laufend): Cloud-Hosting und API-Kosten werden nutzungsbasiert abgerechnet und sind in den laufenden Kosten berücksichtigt. Eine Investition in zusätzliche Hardware wird ab 2029 mit der Einstellung eines Teilzeit-Entwicklers relevant (geschätzt: 1.500 EUR).</w:t>
      </w:r>
    </w:p>
    <w:p w14:paraId="048E4E14" w14:textId="77777777" w:rsidR="005864C9" w:rsidRDefault="00000000">
      <w:pPr>
        <w:spacing w:after="120"/>
      </w:pPr>
      <w:r>
        <w:t>Durch den Cloud-First-Ansatz werden Investitionsrisiken minimiert: Keine hohen Vorab-Investitionen, flexible Skalierung der Infrastrukturkosten mit dem Geschäftswachstum, kein Wertverfall bei physischen Anlagen.</w:t>
      </w:r>
    </w:p>
    <w:p w14:paraId="6256115B" w14:textId="77777777" w:rsidR="005864C9" w:rsidRDefault="00000000">
      <w:pPr>
        <w:pStyle w:val="berschrift1"/>
      </w:pPr>
      <w:bookmarkStart w:id="15" w:name="_Toc225250888"/>
      <w:r>
        <w:t>14. Der Finanzplan</w:t>
      </w:r>
      <w:bookmarkEnd w:id="15"/>
    </w:p>
    <w:p w14:paraId="1AE4C3D3" w14:textId="77777777" w:rsidR="005864C9" w:rsidRDefault="00000000">
      <w:pPr>
        <w:spacing w:after="120"/>
      </w:pPr>
      <w:r>
        <w:t>Der Finanzplan stellt alle zukünftigen Einzahlungen und Auszahlungen gegenüber, um eine finanzielle Unterdeckung zu vermeiden.</w:t>
      </w:r>
    </w:p>
    <w:p w14:paraId="5539417B" w14:textId="77777777" w:rsidR="005864C9" w:rsidRDefault="00000000">
      <w:pPr>
        <w:spacing w:after="120"/>
      </w:pPr>
      <w:r>
        <w:rPr>
          <w:b/>
          <w:bCs/>
        </w:rPr>
        <w:t>Liquiditätsübersicht</w:t>
      </w:r>
    </w:p>
    <w:tbl>
      <w:tblPr>
        <w:tblW w:w="5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1690"/>
        <w:gridCol w:w="1690"/>
      </w:tblGrid>
      <w:tr w:rsidR="00940DF7" w14:paraId="5B4FCEAA" w14:textId="77777777" w:rsidTr="00940DF7">
        <w:tc>
          <w:tcPr>
            <w:tcW w:w="2256"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1091DEA2" w14:textId="77777777" w:rsidR="00940DF7" w:rsidRDefault="00940DF7">
            <w:r>
              <w:rPr>
                <w:b/>
                <w:bCs/>
                <w:color w:val="FFFFFF"/>
                <w:sz w:val="20"/>
                <w:szCs w:val="20"/>
              </w:rPr>
              <w:t>Position</w:t>
            </w:r>
          </w:p>
        </w:tc>
        <w:tc>
          <w:tcPr>
            <w:tcW w:w="1690"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4716A340" w14:textId="77777777" w:rsidR="00940DF7" w:rsidRDefault="00940DF7">
            <w:r>
              <w:rPr>
                <w:b/>
                <w:bCs/>
                <w:color w:val="FFFFFF"/>
                <w:sz w:val="20"/>
                <w:szCs w:val="20"/>
              </w:rPr>
              <w:t>GJ1</w:t>
            </w:r>
          </w:p>
        </w:tc>
        <w:tc>
          <w:tcPr>
            <w:tcW w:w="1690" w:type="dxa"/>
            <w:tcBorders>
              <w:top w:val="single" w:sz="1" w:space="0" w:color="999999"/>
              <w:left w:val="single" w:sz="1" w:space="0" w:color="999999"/>
              <w:bottom w:val="single" w:sz="1" w:space="0" w:color="999999"/>
              <w:right w:val="single" w:sz="1" w:space="0" w:color="999999"/>
            </w:tcBorders>
            <w:shd w:val="clear" w:color="auto" w:fill="E8871E"/>
            <w:tcMar>
              <w:top w:w="60" w:type="dxa"/>
              <w:left w:w="100" w:type="dxa"/>
              <w:bottom w:w="60" w:type="dxa"/>
              <w:right w:w="100" w:type="dxa"/>
            </w:tcMar>
          </w:tcPr>
          <w:p w14:paraId="4A81A325" w14:textId="77777777" w:rsidR="00940DF7" w:rsidRDefault="00940DF7">
            <w:r>
              <w:rPr>
                <w:b/>
                <w:bCs/>
                <w:color w:val="FFFFFF"/>
                <w:sz w:val="20"/>
                <w:szCs w:val="20"/>
              </w:rPr>
              <w:t>GJ2</w:t>
            </w:r>
          </w:p>
        </w:tc>
      </w:tr>
      <w:tr w:rsidR="00940DF7" w14:paraId="34E0483C" w14:textId="77777777" w:rsidTr="00940DF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B84446" w14:textId="77777777" w:rsidR="00940DF7" w:rsidRDefault="00940DF7">
            <w:r>
              <w:rPr>
                <w:sz w:val="20"/>
                <w:szCs w:val="20"/>
              </w:rPr>
              <w:t>Einzahlungen</w:t>
            </w:r>
          </w:p>
        </w:tc>
        <w:tc>
          <w:tcPr>
            <w:tcW w:w="16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1FF636" w14:textId="77777777" w:rsidR="00940DF7" w:rsidRDefault="00940DF7">
            <w:r>
              <w:rPr>
                <w:sz w:val="20"/>
                <w:szCs w:val="20"/>
              </w:rPr>
              <w:t>37.300 €</w:t>
            </w:r>
          </w:p>
        </w:tc>
        <w:tc>
          <w:tcPr>
            <w:tcW w:w="16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356C15" w14:textId="77777777" w:rsidR="00940DF7" w:rsidRDefault="00940DF7">
            <w:r>
              <w:rPr>
                <w:sz w:val="20"/>
                <w:szCs w:val="20"/>
              </w:rPr>
              <w:t>87.350 €</w:t>
            </w:r>
          </w:p>
        </w:tc>
      </w:tr>
      <w:tr w:rsidR="00940DF7" w14:paraId="5C729C35" w14:textId="77777777" w:rsidTr="00940DF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3FEF61" w14:textId="77777777" w:rsidR="00940DF7" w:rsidRDefault="00940DF7">
            <w:r>
              <w:rPr>
                <w:sz w:val="20"/>
                <w:szCs w:val="20"/>
              </w:rPr>
              <w:t>Auszahlungen</w:t>
            </w:r>
          </w:p>
        </w:tc>
        <w:tc>
          <w:tcPr>
            <w:tcW w:w="16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CF1DF2" w14:textId="77777777" w:rsidR="00940DF7" w:rsidRDefault="00940DF7">
            <w:r>
              <w:rPr>
                <w:sz w:val="20"/>
                <w:szCs w:val="20"/>
              </w:rPr>
              <w:t>10.790 €</w:t>
            </w:r>
          </w:p>
        </w:tc>
        <w:tc>
          <w:tcPr>
            <w:tcW w:w="16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BCD894" w14:textId="77777777" w:rsidR="00940DF7" w:rsidRDefault="00940DF7">
            <w:r>
              <w:rPr>
                <w:sz w:val="20"/>
                <w:szCs w:val="20"/>
              </w:rPr>
              <w:t>20.190 €</w:t>
            </w:r>
          </w:p>
        </w:tc>
      </w:tr>
      <w:tr w:rsidR="00940DF7" w14:paraId="293F8110" w14:textId="77777777" w:rsidTr="00940DF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DF8DA6" w14:textId="77777777" w:rsidR="00940DF7" w:rsidRDefault="00940DF7">
            <w:r>
              <w:rPr>
                <w:sz w:val="20"/>
                <w:szCs w:val="20"/>
              </w:rPr>
              <w:t>Saldo</w:t>
            </w:r>
          </w:p>
        </w:tc>
        <w:tc>
          <w:tcPr>
            <w:tcW w:w="16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49DE77" w14:textId="77777777" w:rsidR="00940DF7" w:rsidRDefault="00940DF7">
            <w:r>
              <w:rPr>
                <w:sz w:val="20"/>
                <w:szCs w:val="20"/>
              </w:rPr>
              <w:t>+26.510 €</w:t>
            </w:r>
          </w:p>
        </w:tc>
        <w:tc>
          <w:tcPr>
            <w:tcW w:w="16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E847D0" w14:textId="77777777" w:rsidR="00940DF7" w:rsidRDefault="00940DF7">
            <w:r>
              <w:rPr>
                <w:sz w:val="20"/>
                <w:szCs w:val="20"/>
              </w:rPr>
              <w:t>+67.160 €</w:t>
            </w:r>
          </w:p>
        </w:tc>
      </w:tr>
      <w:tr w:rsidR="00940DF7" w14:paraId="2C602E52" w14:textId="77777777" w:rsidTr="00940DF7">
        <w:tc>
          <w:tcPr>
            <w:tcW w:w="2256" w:type="dxa"/>
            <w:tcBorders>
              <w:top w:val="single" w:sz="1" w:space="0" w:color="999999"/>
              <w:left w:val="single" w:sz="1" w:space="0" w:color="999999"/>
              <w:bottom w:val="single" w:sz="1" w:space="0" w:color="999999"/>
              <w:right w:val="single" w:sz="1" w:space="0" w:color="999999"/>
            </w:tcBorders>
            <w:shd w:val="clear" w:color="auto" w:fill="F0F0F0"/>
            <w:tcMar>
              <w:top w:w="60" w:type="dxa"/>
              <w:left w:w="100" w:type="dxa"/>
              <w:bottom w:w="60" w:type="dxa"/>
              <w:right w:w="100" w:type="dxa"/>
            </w:tcMar>
          </w:tcPr>
          <w:p w14:paraId="04471816" w14:textId="77777777" w:rsidR="00940DF7" w:rsidRDefault="00940DF7">
            <w:r>
              <w:rPr>
                <w:b/>
                <w:bCs/>
                <w:sz w:val="20"/>
                <w:szCs w:val="20"/>
              </w:rPr>
              <w:t>Kumulierte Liquidität</w:t>
            </w:r>
          </w:p>
        </w:tc>
        <w:tc>
          <w:tcPr>
            <w:tcW w:w="1690" w:type="dxa"/>
            <w:tcBorders>
              <w:top w:val="single" w:sz="1" w:space="0" w:color="999999"/>
              <w:left w:val="single" w:sz="1" w:space="0" w:color="999999"/>
              <w:bottom w:val="single" w:sz="1" w:space="0" w:color="999999"/>
              <w:right w:val="single" w:sz="1" w:space="0" w:color="999999"/>
            </w:tcBorders>
            <w:shd w:val="clear" w:color="auto" w:fill="F0F0F0"/>
            <w:tcMar>
              <w:top w:w="60" w:type="dxa"/>
              <w:left w:w="100" w:type="dxa"/>
              <w:bottom w:w="60" w:type="dxa"/>
              <w:right w:w="100" w:type="dxa"/>
            </w:tcMar>
          </w:tcPr>
          <w:p w14:paraId="3673AC3B" w14:textId="77777777" w:rsidR="00940DF7" w:rsidRDefault="00940DF7">
            <w:r>
              <w:rPr>
                <w:b/>
                <w:bCs/>
                <w:sz w:val="20"/>
                <w:szCs w:val="20"/>
              </w:rPr>
              <w:t>+26.510 €</w:t>
            </w:r>
          </w:p>
        </w:tc>
        <w:tc>
          <w:tcPr>
            <w:tcW w:w="1690" w:type="dxa"/>
            <w:tcBorders>
              <w:top w:val="single" w:sz="1" w:space="0" w:color="999999"/>
              <w:left w:val="single" w:sz="1" w:space="0" w:color="999999"/>
              <w:bottom w:val="single" w:sz="1" w:space="0" w:color="999999"/>
              <w:right w:val="single" w:sz="1" w:space="0" w:color="999999"/>
            </w:tcBorders>
            <w:shd w:val="clear" w:color="auto" w:fill="F0F0F0"/>
            <w:tcMar>
              <w:top w:w="60" w:type="dxa"/>
              <w:left w:w="100" w:type="dxa"/>
              <w:bottom w:w="60" w:type="dxa"/>
              <w:right w:w="100" w:type="dxa"/>
            </w:tcMar>
          </w:tcPr>
          <w:p w14:paraId="0EA31BAB" w14:textId="77777777" w:rsidR="00940DF7" w:rsidRDefault="00940DF7">
            <w:r>
              <w:rPr>
                <w:b/>
                <w:bCs/>
                <w:sz w:val="20"/>
                <w:szCs w:val="20"/>
              </w:rPr>
              <w:t>+93.670 €</w:t>
            </w:r>
          </w:p>
        </w:tc>
      </w:tr>
    </w:tbl>
    <w:p w14:paraId="5560DBCB" w14:textId="1EFC04B4" w:rsidR="005864C9" w:rsidRDefault="00000000" w:rsidP="00D45610">
      <w:pPr>
        <w:spacing w:after="120"/>
      </w:pPr>
      <w:r>
        <w:rPr>
          <w:i/>
          <w:iCs/>
          <w:sz w:val="18"/>
          <w:szCs w:val="18"/>
        </w:rPr>
        <w:t>* GJ1: Einzahlungen = 15.000 EUR Eigenmittel (Stammkapital) + 22.300 EUR Umsatz. Ab GJ2: Umsatzfinanziert.</w:t>
      </w:r>
    </w:p>
    <w:p w14:paraId="7FDCEFC8" w14:textId="77777777" w:rsidR="005864C9" w:rsidRDefault="00000000">
      <w:pPr>
        <w:spacing w:after="120"/>
      </w:pPr>
      <w:r>
        <w:t>Anlaufverluste im Rumpfjahr 2026 sind eingeplant und durch das Stammkapital gedeckt. Saisonale Schwankungen werden nicht erwartet, da das SaaS-Modell auf monatlichen Abonnements basiert.</w:t>
      </w:r>
    </w:p>
    <w:p w14:paraId="59E7CCAE" w14:textId="77777777" w:rsidR="005864C9" w:rsidRDefault="00000000">
      <w:pPr>
        <w:pStyle w:val="berschrift1"/>
      </w:pPr>
      <w:bookmarkStart w:id="16" w:name="_Toc225250889"/>
      <w:r>
        <w:t>15. Der Kapitalbedarf</w:t>
      </w:r>
      <w:bookmarkEnd w:id="16"/>
    </w:p>
    <w:p w14:paraId="2CA42753" w14:textId="77777777" w:rsidR="005864C9" w:rsidRDefault="00000000">
      <w:pPr>
        <w:spacing w:after="120"/>
      </w:pPr>
      <w:r>
        <w:t>Der Gesamtkapitalbedarf bis zum operativen Break-even beträgt ca. 15.000 EUR Eigenmittel (Stammkapital). Bereits im GJ1 (Aug 2026 – Jul 2027) erzielt das Unternehmen ein positives Betriebsergebnis von +11.510 EUR. Ab GJ2 finanziert sich das Unternehmen komfortabel aus eigenen Umsätzen (87.350 EUR Einnahmen bei 20.190 EUR Ausgaben).</w:t>
      </w:r>
    </w:p>
    <w:p w14:paraId="30855526" w14:textId="77777777" w:rsidR="005864C9" w:rsidRDefault="00000000">
      <w:pPr>
        <w:spacing w:after="120"/>
      </w:pPr>
      <w:r>
        <w:rPr>
          <w:b/>
          <w:bCs/>
        </w:rPr>
        <w:t>Finanzierungsstrategie</w:t>
      </w:r>
    </w:p>
    <w:p w14:paraId="06205CEA" w14:textId="77777777" w:rsidR="005864C9" w:rsidRDefault="00000000">
      <w:pPr>
        <w:pStyle w:val="Listenabsatz"/>
        <w:numPr>
          <w:ilvl w:val="0"/>
          <w:numId w:val="2"/>
        </w:numPr>
        <w:spacing w:after="60"/>
      </w:pPr>
      <w:r>
        <w:t>GJ1: 15.000 EUR Eigenmittel (Stammkapital der GmbH) + 22.300 EUR Umsatz</w:t>
      </w:r>
    </w:p>
    <w:p w14:paraId="229922C6" w14:textId="77777777" w:rsidR="005864C9" w:rsidRDefault="00000000">
      <w:pPr>
        <w:pStyle w:val="Listenabsatz"/>
        <w:numPr>
          <w:ilvl w:val="0"/>
          <w:numId w:val="2"/>
        </w:numPr>
        <w:spacing w:after="60"/>
      </w:pPr>
      <w:r>
        <w:t>GJ2: Aus laufenden Umsätzen (87.350 EUR) bei 20.190 EUR Betriebsausgaben</w:t>
      </w:r>
    </w:p>
    <w:p w14:paraId="5D15783E" w14:textId="77777777" w:rsidR="005864C9" w:rsidRDefault="00000000">
      <w:pPr>
        <w:spacing w:after="120"/>
      </w:pPr>
      <w:r>
        <w:t>Eigenkapitalanteil: 100 % in der Startphase. Die Planrechnung zeigt, dass das Geschäftsmodell ohne externe Finanzierung tragfähig ist. Fördermittel (z. B. aws PreSeed Innovative Solutions) können das Wachstum beschleunigen, sind aber nicht erforderlich für die Grundfinanzierung.</w:t>
      </w:r>
    </w:p>
    <w:p w14:paraId="1BB2B8EB" w14:textId="77777777" w:rsidR="005864C9" w:rsidRDefault="00000000">
      <w:pPr>
        <w:pStyle w:val="berschrift1"/>
      </w:pPr>
      <w:bookmarkStart w:id="17" w:name="_Toc225250890"/>
      <w:r>
        <w:lastRenderedPageBreak/>
        <w:t>16. Das Versicherungskonzept</w:t>
      </w:r>
      <w:bookmarkEnd w:id="17"/>
    </w:p>
    <w:p w14:paraId="326CD368" w14:textId="77777777" w:rsidR="005864C9" w:rsidRDefault="00000000">
      <w:pPr>
        <w:spacing w:after="120"/>
      </w:pPr>
      <w:r>
        <w:t>Als Softwareunternehmen sind die Versicherungsrisiken überschaubar, aber gezielt abzusichern:</w:t>
      </w:r>
    </w:p>
    <w:p w14:paraId="13F713ED" w14:textId="77777777" w:rsidR="005864C9" w:rsidRDefault="00000000">
      <w:pPr>
        <w:spacing w:after="120"/>
      </w:pPr>
      <w:r>
        <w:rPr>
          <w:b/>
          <w:bCs/>
        </w:rPr>
        <w:t>Pflichtversicherungen</w:t>
      </w:r>
    </w:p>
    <w:p w14:paraId="08C42818" w14:textId="77777777" w:rsidR="005864C9" w:rsidRDefault="00000000">
      <w:pPr>
        <w:pStyle w:val="Listenabsatz"/>
        <w:numPr>
          <w:ilvl w:val="0"/>
          <w:numId w:val="2"/>
        </w:numPr>
        <w:spacing w:after="60"/>
      </w:pPr>
      <w:r>
        <w:t>Sozialversicherung der gewerblichen Wirtschaft (SVS): Pensions-, Kranken-, Unfallversicherung für den Geschäftsführer</w:t>
      </w:r>
    </w:p>
    <w:p w14:paraId="6842CEA6" w14:textId="77777777" w:rsidR="005864C9" w:rsidRDefault="00000000">
      <w:pPr>
        <w:pStyle w:val="Listenabsatz"/>
        <w:numPr>
          <w:ilvl w:val="0"/>
          <w:numId w:val="2"/>
        </w:numPr>
        <w:spacing w:after="120"/>
      </w:pPr>
      <w:r>
        <w:t>Betriebs- und Produkthaftpflichtversicherung: Schutz bei Schadenersatzansprüchen</w:t>
      </w:r>
    </w:p>
    <w:p w14:paraId="65FE9D67" w14:textId="77777777" w:rsidR="005864C9" w:rsidRDefault="00000000">
      <w:pPr>
        <w:spacing w:after="120"/>
      </w:pPr>
      <w:r>
        <w:rPr>
          <w:b/>
          <w:bCs/>
        </w:rPr>
        <w:t>Empfohlene Versicherungen</w:t>
      </w:r>
    </w:p>
    <w:p w14:paraId="73E97638" w14:textId="77777777" w:rsidR="005864C9" w:rsidRDefault="00000000">
      <w:pPr>
        <w:pStyle w:val="Listenabsatz"/>
        <w:numPr>
          <w:ilvl w:val="0"/>
          <w:numId w:val="2"/>
        </w:numPr>
        <w:spacing w:after="60"/>
      </w:pPr>
      <w:r>
        <w:t>Berufshaftpflichtversicherung / IT-Haftpflicht: Besonders relevant für Softwareanbieter im Gesundheitsbereich</w:t>
      </w:r>
    </w:p>
    <w:p w14:paraId="5E694192" w14:textId="77777777" w:rsidR="005864C9" w:rsidRDefault="00000000">
      <w:pPr>
        <w:pStyle w:val="Listenabsatz"/>
        <w:numPr>
          <w:ilvl w:val="0"/>
          <w:numId w:val="2"/>
        </w:numPr>
        <w:spacing w:after="60"/>
      </w:pPr>
      <w:r>
        <w:t>Cyber-Versicherung: Schutz bei Datenverlust, Hackerangriffen oder Datenschutzverletzungen</w:t>
      </w:r>
    </w:p>
    <w:p w14:paraId="0705685E" w14:textId="77777777" w:rsidR="005864C9" w:rsidRDefault="00000000">
      <w:pPr>
        <w:pStyle w:val="Listenabsatz"/>
        <w:numPr>
          <w:ilvl w:val="0"/>
          <w:numId w:val="2"/>
        </w:numPr>
        <w:spacing w:after="60"/>
      </w:pPr>
      <w:r>
        <w:t>Rechtsschutzversicherung: Für mögliche Streitigkeiten mit Kunden oder Lieferanten</w:t>
      </w:r>
    </w:p>
    <w:p w14:paraId="758187F5" w14:textId="77777777" w:rsidR="005864C9" w:rsidRDefault="00000000">
      <w:pPr>
        <w:pStyle w:val="Listenabsatz"/>
        <w:numPr>
          <w:ilvl w:val="0"/>
          <w:numId w:val="2"/>
        </w:numPr>
        <w:spacing w:after="120"/>
      </w:pPr>
      <w:r>
        <w:t>Berufsunfähigkeitsversicherung: Absicherung des Einzelgründers</w:t>
      </w:r>
    </w:p>
    <w:p w14:paraId="0549A97C" w14:textId="77777777" w:rsidR="005864C9" w:rsidRDefault="00000000">
      <w:pPr>
        <w:spacing w:after="120"/>
      </w:pPr>
      <w:r>
        <w:rPr>
          <w:b/>
          <w:bCs/>
        </w:rPr>
        <w:t>Risikobewertung</w:t>
      </w:r>
    </w:p>
    <w:p w14:paraId="75F7A7AD" w14:textId="77777777" w:rsidR="005864C9" w:rsidRDefault="00000000">
      <w:pPr>
        <w:spacing w:after="120"/>
      </w:pPr>
      <w:r>
        <w:t>Das größte Risiko ist der Ausfall des Einzelgründers (Katastrophenrisiko für das Unternehmen). Mitigation: Berufsunfähigkeitsversicherung, Dokumentation aller Prozesse und Zugänge, perspektivisch Aufbau eines Teams. Cyber-Risiken werden durch DSGVO-konforme Architektur, EU-Hosting und professionelle Sicherheitsmaßnahmen minimiert.</w:t>
      </w:r>
    </w:p>
    <w:p w14:paraId="38E88971" w14:textId="77777777" w:rsidR="005864C9" w:rsidRDefault="00000000">
      <w:pPr>
        <w:spacing w:after="120"/>
      </w:pPr>
      <w:r>
        <w:t>Geschätzte jährliche Versicherungskosten: 2.500–3.000 EUR (in der Kostenplanung berücksichtigt).</w:t>
      </w:r>
    </w:p>
    <w:p w14:paraId="4BED759D" w14:textId="77777777" w:rsidR="005864C9" w:rsidRDefault="00000000">
      <w:pPr>
        <w:pStyle w:val="berschrift1"/>
      </w:pPr>
      <w:bookmarkStart w:id="18" w:name="_Toc225250891"/>
      <w:r>
        <w:t>17. SWOT-Analyse</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864C9" w14:paraId="737F65EA" w14:textId="77777777">
        <w:tc>
          <w:tcPr>
            <w:tcW w:w="4513" w:type="dxa"/>
            <w:tcBorders>
              <w:top w:val="single" w:sz="1" w:space="0" w:color="999999"/>
              <w:left w:val="single" w:sz="1" w:space="0" w:color="999999"/>
              <w:bottom w:val="single" w:sz="1" w:space="0" w:color="999999"/>
              <w:right w:val="single" w:sz="1" w:space="0" w:color="999999"/>
            </w:tcBorders>
            <w:shd w:val="clear" w:color="auto" w:fill="D5E8D4"/>
            <w:tcMar>
              <w:top w:w="60" w:type="dxa"/>
              <w:left w:w="100" w:type="dxa"/>
              <w:bottom w:w="60" w:type="dxa"/>
              <w:right w:w="100" w:type="dxa"/>
            </w:tcMar>
          </w:tcPr>
          <w:p w14:paraId="6FC5DF66" w14:textId="77777777" w:rsidR="005864C9" w:rsidRDefault="00000000">
            <w:pPr>
              <w:spacing w:after="80"/>
            </w:pPr>
            <w:r>
              <w:rPr>
                <w:b/>
                <w:bCs/>
                <w:sz w:val="20"/>
                <w:szCs w:val="20"/>
              </w:rPr>
              <w:t>Stärken (intern)</w:t>
            </w:r>
          </w:p>
          <w:p w14:paraId="15184451" w14:textId="77777777" w:rsidR="005864C9" w:rsidRDefault="00000000">
            <w:pPr>
              <w:pStyle w:val="Listenabsatz"/>
              <w:numPr>
                <w:ilvl w:val="0"/>
                <w:numId w:val="2"/>
              </w:numPr>
              <w:spacing w:after="40"/>
            </w:pPr>
            <w:r>
              <w:rPr>
                <w:sz w:val="18"/>
                <w:szCs w:val="18"/>
              </w:rPr>
              <w:t>First-Mover im DACH-Raum</w:t>
            </w:r>
          </w:p>
          <w:p w14:paraId="5F019F6E" w14:textId="77777777" w:rsidR="005864C9" w:rsidRDefault="00000000">
            <w:pPr>
              <w:pStyle w:val="Listenabsatz"/>
              <w:numPr>
                <w:ilvl w:val="0"/>
                <w:numId w:val="2"/>
              </w:numPr>
              <w:spacing w:after="40"/>
            </w:pPr>
            <w:r>
              <w:rPr>
                <w:sz w:val="18"/>
                <w:szCs w:val="18"/>
              </w:rPr>
              <w:t>Systemimmanente Barrierefreiheit durch Telefonkanal</w:t>
            </w:r>
          </w:p>
          <w:p w14:paraId="5C4E2E27" w14:textId="77777777" w:rsidR="005864C9" w:rsidRDefault="00000000">
            <w:pPr>
              <w:pStyle w:val="Listenabsatz"/>
              <w:numPr>
                <w:ilvl w:val="0"/>
                <w:numId w:val="2"/>
              </w:numPr>
              <w:spacing w:after="40"/>
            </w:pPr>
            <w:r>
              <w:rPr>
                <w:sz w:val="18"/>
                <w:szCs w:val="18"/>
              </w:rPr>
              <w:t>Wissenschaftlich validiertes Problem</w:t>
            </w:r>
          </w:p>
          <w:p w14:paraId="3E4D7D49" w14:textId="77777777" w:rsidR="005864C9" w:rsidRDefault="00000000">
            <w:pPr>
              <w:pStyle w:val="Listenabsatz"/>
              <w:numPr>
                <w:ilvl w:val="0"/>
                <w:numId w:val="2"/>
              </w:numPr>
              <w:spacing w:after="40"/>
            </w:pPr>
            <w:r>
              <w:rPr>
                <w:sz w:val="18"/>
                <w:szCs w:val="18"/>
              </w:rPr>
              <w:t>Modulare Architektur, regulatorisch schlank</w:t>
            </w:r>
          </w:p>
          <w:p w14:paraId="3DCC41AC" w14:textId="77777777" w:rsidR="005864C9" w:rsidRDefault="00000000">
            <w:pPr>
              <w:pStyle w:val="Listenabsatz"/>
              <w:numPr>
                <w:ilvl w:val="0"/>
                <w:numId w:val="2"/>
              </w:numPr>
              <w:spacing w:after="40"/>
            </w:pPr>
            <w:r>
              <w:rPr>
                <w:sz w:val="18"/>
                <w:szCs w:val="18"/>
              </w:rPr>
              <w:t>Kein AI-Wrapper-Risiko: Wertschöpfung in Gesprächslogik und Compliance</w:t>
            </w:r>
          </w:p>
        </w:tc>
        <w:tc>
          <w:tcPr>
            <w:tcW w:w="4513" w:type="dxa"/>
            <w:tcBorders>
              <w:top w:val="single" w:sz="1" w:space="0" w:color="999999"/>
              <w:left w:val="single" w:sz="1" w:space="0" w:color="999999"/>
              <w:bottom w:val="single" w:sz="1" w:space="0" w:color="999999"/>
              <w:right w:val="single" w:sz="1" w:space="0" w:color="999999"/>
            </w:tcBorders>
            <w:shd w:val="clear" w:color="auto" w:fill="F8D7DA"/>
            <w:tcMar>
              <w:top w:w="60" w:type="dxa"/>
              <w:left w:w="100" w:type="dxa"/>
              <w:bottom w:w="60" w:type="dxa"/>
              <w:right w:w="100" w:type="dxa"/>
            </w:tcMar>
          </w:tcPr>
          <w:p w14:paraId="60002964" w14:textId="77777777" w:rsidR="005864C9" w:rsidRDefault="00000000">
            <w:pPr>
              <w:spacing w:after="80"/>
            </w:pPr>
            <w:r>
              <w:rPr>
                <w:b/>
                <w:bCs/>
                <w:sz w:val="20"/>
                <w:szCs w:val="20"/>
              </w:rPr>
              <w:t>Schwächen (intern)</w:t>
            </w:r>
          </w:p>
          <w:p w14:paraId="0140CD3B" w14:textId="77777777" w:rsidR="005864C9" w:rsidRDefault="00000000">
            <w:pPr>
              <w:pStyle w:val="Listenabsatz"/>
              <w:numPr>
                <w:ilvl w:val="0"/>
                <w:numId w:val="2"/>
              </w:numPr>
              <w:spacing w:after="40"/>
            </w:pPr>
            <w:r>
              <w:rPr>
                <w:sz w:val="18"/>
                <w:szCs w:val="18"/>
              </w:rPr>
              <w:t>Einzelgründer mit begrenzter Kapazität</w:t>
            </w:r>
          </w:p>
          <w:p w14:paraId="2E0DF320" w14:textId="77777777" w:rsidR="005864C9" w:rsidRDefault="00000000">
            <w:pPr>
              <w:pStyle w:val="Listenabsatz"/>
              <w:numPr>
                <w:ilvl w:val="0"/>
                <w:numId w:val="2"/>
              </w:numPr>
              <w:spacing w:after="40"/>
            </w:pPr>
            <w:r>
              <w:rPr>
                <w:sz w:val="18"/>
                <w:szCs w:val="18"/>
              </w:rPr>
              <w:t>Kein Prototyp vorhanden</w:t>
            </w:r>
          </w:p>
          <w:p w14:paraId="6834F049" w14:textId="77777777" w:rsidR="005864C9" w:rsidRDefault="00000000">
            <w:pPr>
              <w:pStyle w:val="Listenabsatz"/>
              <w:numPr>
                <w:ilvl w:val="0"/>
                <w:numId w:val="2"/>
              </w:numPr>
              <w:spacing w:after="40"/>
            </w:pPr>
            <w:r>
              <w:rPr>
                <w:sz w:val="18"/>
                <w:szCs w:val="18"/>
              </w:rPr>
              <w:t>Keine Letters of Intent</w:t>
            </w:r>
          </w:p>
          <w:p w14:paraId="51F307CF" w14:textId="77777777" w:rsidR="005864C9" w:rsidRDefault="00000000">
            <w:pPr>
              <w:pStyle w:val="Listenabsatz"/>
              <w:numPr>
                <w:ilvl w:val="0"/>
                <w:numId w:val="2"/>
              </w:numPr>
              <w:spacing w:after="40"/>
            </w:pPr>
            <w:r>
              <w:rPr>
                <w:sz w:val="18"/>
                <w:szCs w:val="18"/>
              </w:rPr>
              <w:t>Abhängigkeit von externen API-Anbietern</w:t>
            </w:r>
          </w:p>
        </w:tc>
      </w:tr>
      <w:tr w:rsidR="005864C9" w14:paraId="13F7440D" w14:textId="77777777">
        <w:tc>
          <w:tcPr>
            <w:tcW w:w="4513" w:type="dxa"/>
            <w:tcBorders>
              <w:top w:val="single" w:sz="1" w:space="0" w:color="999999"/>
              <w:left w:val="single" w:sz="1" w:space="0" w:color="999999"/>
              <w:bottom w:val="single" w:sz="1" w:space="0" w:color="999999"/>
              <w:right w:val="single" w:sz="1" w:space="0" w:color="999999"/>
            </w:tcBorders>
            <w:shd w:val="clear" w:color="auto" w:fill="D4E6F1"/>
            <w:tcMar>
              <w:top w:w="60" w:type="dxa"/>
              <w:left w:w="100" w:type="dxa"/>
              <w:bottom w:w="60" w:type="dxa"/>
              <w:right w:w="100" w:type="dxa"/>
            </w:tcMar>
          </w:tcPr>
          <w:p w14:paraId="7975BA6A" w14:textId="77777777" w:rsidR="005864C9" w:rsidRDefault="00000000">
            <w:pPr>
              <w:spacing w:after="80"/>
            </w:pPr>
            <w:r>
              <w:rPr>
                <w:b/>
                <w:bCs/>
                <w:sz w:val="20"/>
                <w:szCs w:val="20"/>
              </w:rPr>
              <w:t>Chancen (extern)</w:t>
            </w:r>
          </w:p>
          <w:p w14:paraId="347D70D1" w14:textId="77777777" w:rsidR="005864C9" w:rsidRDefault="00000000">
            <w:pPr>
              <w:pStyle w:val="Listenabsatz"/>
              <w:numPr>
                <w:ilvl w:val="0"/>
                <w:numId w:val="2"/>
              </w:numPr>
              <w:spacing w:after="40"/>
            </w:pPr>
            <w:r>
              <w:rPr>
                <w:sz w:val="18"/>
                <w:szCs w:val="18"/>
              </w:rPr>
              <w:t>eHealth-Strategie: 51 Mio. EUR/Jahr</w:t>
            </w:r>
          </w:p>
          <w:p w14:paraId="4B5DC297" w14:textId="77777777" w:rsidR="005864C9" w:rsidRDefault="00000000">
            <w:pPr>
              <w:pStyle w:val="Listenabsatz"/>
              <w:numPr>
                <w:ilvl w:val="0"/>
                <w:numId w:val="2"/>
              </w:numPr>
              <w:spacing w:after="40"/>
            </w:pPr>
            <w:r>
              <w:rPr>
                <w:sz w:val="18"/>
                <w:szCs w:val="18"/>
              </w:rPr>
              <w:t>PVE-Wachstum (100 → 133+ Einheiten)</w:t>
            </w:r>
          </w:p>
          <w:p w14:paraId="66FEEB54" w14:textId="77777777" w:rsidR="005864C9" w:rsidRDefault="00000000">
            <w:pPr>
              <w:pStyle w:val="Listenabsatz"/>
              <w:numPr>
                <w:ilvl w:val="0"/>
                <w:numId w:val="2"/>
              </w:numPr>
              <w:spacing w:after="40"/>
            </w:pPr>
            <w:r>
              <w:rPr>
                <w:sz w:val="18"/>
                <w:szCs w:val="18"/>
              </w:rPr>
              <w:t>Voice-AI-Markt: 37,79 % CAGR</w:t>
            </w:r>
          </w:p>
          <w:p w14:paraId="5C96D280" w14:textId="77777777" w:rsidR="005864C9" w:rsidRDefault="00000000">
            <w:pPr>
              <w:pStyle w:val="Listenabsatz"/>
              <w:numPr>
                <w:ilvl w:val="0"/>
                <w:numId w:val="2"/>
              </w:numPr>
              <w:spacing w:after="40"/>
            </w:pPr>
            <w:r>
              <w:rPr>
                <w:sz w:val="18"/>
                <w:szCs w:val="18"/>
              </w:rPr>
              <w:t>Ärztemangel erhöht Druck auf Effizienz</w:t>
            </w:r>
          </w:p>
          <w:p w14:paraId="2116624D" w14:textId="77777777" w:rsidR="005864C9" w:rsidRDefault="00000000">
            <w:pPr>
              <w:pStyle w:val="Listenabsatz"/>
              <w:numPr>
                <w:ilvl w:val="0"/>
                <w:numId w:val="2"/>
              </w:numPr>
              <w:spacing w:after="40"/>
            </w:pPr>
            <w:r>
              <w:rPr>
                <w:sz w:val="18"/>
                <w:szCs w:val="18"/>
              </w:rPr>
              <w:t>ELGA-Ausbau schafft Integrationsinfrastruktur</w:t>
            </w:r>
          </w:p>
        </w:tc>
        <w:tc>
          <w:tcPr>
            <w:tcW w:w="4513"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72C5E9BA" w14:textId="77777777" w:rsidR="005864C9" w:rsidRDefault="00000000">
            <w:pPr>
              <w:spacing w:after="80"/>
            </w:pPr>
            <w:r>
              <w:rPr>
                <w:b/>
                <w:bCs/>
                <w:sz w:val="20"/>
                <w:szCs w:val="20"/>
              </w:rPr>
              <w:t>Risiken (extern)</w:t>
            </w:r>
          </w:p>
          <w:p w14:paraId="2DA488E5" w14:textId="77777777" w:rsidR="005864C9" w:rsidRDefault="00000000">
            <w:pPr>
              <w:pStyle w:val="Listenabsatz"/>
              <w:numPr>
                <w:ilvl w:val="0"/>
                <w:numId w:val="2"/>
              </w:numPr>
              <w:spacing w:after="40"/>
            </w:pPr>
            <w:r>
              <w:rPr>
                <w:sz w:val="18"/>
                <w:szCs w:val="18"/>
              </w:rPr>
              <w:t>Wettbewerber könnten Voice-Feature kopieren</w:t>
            </w:r>
          </w:p>
          <w:p w14:paraId="1C248AA4" w14:textId="77777777" w:rsidR="005864C9" w:rsidRDefault="00000000">
            <w:pPr>
              <w:pStyle w:val="Listenabsatz"/>
              <w:numPr>
                <w:ilvl w:val="0"/>
                <w:numId w:val="2"/>
              </w:numPr>
              <w:spacing w:after="40"/>
            </w:pPr>
            <w:r>
              <w:rPr>
                <w:sz w:val="18"/>
                <w:szCs w:val="18"/>
              </w:rPr>
              <w:t>Lange Sales-Zyklen (3–6+ Monate)</w:t>
            </w:r>
          </w:p>
          <w:p w14:paraId="40E77A10" w14:textId="77777777" w:rsidR="005864C9" w:rsidRDefault="00000000">
            <w:pPr>
              <w:pStyle w:val="Listenabsatz"/>
              <w:numPr>
                <w:ilvl w:val="0"/>
                <w:numId w:val="2"/>
              </w:numPr>
              <w:spacing w:after="40"/>
            </w:pPr>
            <w:r>
              <w:rPr>
                <w:sz w:val="18"/>
                <w:szCs w:val="18"/>
              </w:rPr>
              <w:t>Akzeptanz bei älteren Patienten muss validiert werden</w:t>
            </w:r>
          </w:p>
          <w:p w14:paraId="0B429268" w14:textId="77777777" w:rsidR="005864C9" w:rsidRDefault="00000000">
            <w:pPr>
              <w:pStyle w:val="Listenabsatz"/>
              <w:numPr>
                <w:ilvl w:val="0"/>
                <w:numId w:val="2"/>
              </w:numPr>
              <w:spacing w:after="40"/>
            </w:pPr>
            <w:r>
              <w:rPr>
                <w:sz w:val="18"/>
                <w:szCs w:val="18"/>
              </w:rPr>
              <w:t>Regulatorische Änderungen könnten Einordnung gefährden</w:t>
            </w:r>
          </w:p>
        </w:tc>
      </w:tr>
    </w:tbl>
    <w:p w14:paraId="0FFA56E8" w14:textId="77777777" w:rsidR="005864C9" w:rsidRDefault="005864C9"/>
    <w:p w14:paraId="3FA44043" w14:textId="77777777" w:rsidR="00D45610" w:rsidRDefault="00D45610">
      <w:pPr>
        <w:rPr>
          <w:b/>
          <w:bCs/>
        </w:rPr>
      </w:pPr>
      <w:r>
        <w:rPr>
          <w:b/>
          <w:bCs/>
        </w:rPr>
        <w:br w:type="page"/>
      </w:r>
    </w:p>
    <w:p w14:paraId="11E4ADE5" w14:textId="454D4030" w:rsidR="005864C9" w:rsidRDefault="00000000">
      <w:pPr>
        <w:spacing w:after="120"/>
      </w:pPr>
      <w:r>
        <w:rPr>
          <w:b/>
          <w:bCs/>
        </w:rPr>
        <w:lastRenderedPageBreak/>
        <w:t>Abgeleitete Maßnahmen</w:t>
      </w:r>
    </w:p>
    <w:p w14:paraId="0CEFD2BB" w14:textId="77777777" w:rsidR="005864C9" w:rsidRDefault="00000000">
      <w:pPr>
        <w:pStyle w:val="Listenabsatz"/>
        <w:numPr>
          <w:ilvl w:val="0"/>
          <w:numId w:val="2"/>
        </w:numPr>
        <w:spacing w:after="60"/>
      </w:pPr>
      <w:r>
        <w:t>Domänenfokus als Schutz vor Commoditisierung</w:t>
      </w:r>
    </w:p>
    <w:p w14:paraId="67740DAC" w14:textId="77777777" w:rsidR="005864C9" w:rsidRDefault="00000000">
      <w:pPr>
        <w:pStyle w:val="Listenabsatz"/>
        <w:numPr>
          <w:ilvl w:val="0"/>
          <w:numId w:val="2"/>
        </w:numPr>
        <w:spacing w:after="60"/>
      </w:pPr>
      <w:r>
        <w:t>First-Mover-Vorteil durch schnelle MVP-Entwicklung nutzen</w:t>
      </w:r>
    </w:p>
    <w:p w14:paraId="6A3D7319" w14:textId="77777777" w:rsidR="005864C9" w:rsidRDefault="00000000">
      <w:pPr>
        <w:pStyle w:val="Listenabsatz"/>
        <w:numPr>
          <w:ilvl w:val="0"/>
          <w:numId w:val="2"/>
        </w:numPr>
        <w:spacing w:after="60"/>
      </w:pPr>
      <w:r>
        <w:t>Einzelgründer-Risiko mitigieren durch Freelancer und externe Berater</w:t>
      </w:r>
    </w:p>
    <w:p w14:paraId="52756A56" w14:textId="77777777" w:rsidR="005864C9" w:rsidRDefault="00000000">
      <w:pPr>
        <w:pStyle w:val="Listenabsatz"/>
        <w:numPr>
          <w:ilvl w:val="0"/>
          <w:numId w:val="2"/>
        </w:numPr>
        <w:spacing w:after="60"/>
      </w:pPr>
      <w:r>
        <w:t>Kostenlose Pilotphase gegen lange Sales-Zyklen</w:t>
      </w:r>
    </w:p>
    <w:p w14:paraId="7D7D406D" w14:textId="77777777" w:rsidR="005864C9" w:rsidRDefault="00000000">
      <w:pPr>
        <w:pStyle w:val="Listenabsatz"/>
        <w:numPr>
          <w:ilvl w:val="0"/>
          <w:numId w:val="2"/>
        </w:numPr>
        <w:spacing w:after="60"/>
      </w:pPr>
      <w:r>
        <w:t>ELGA-Ausbau durch frühe FHIR-Integration nutzen</w:t>
      </w:r>
    </w:p>
    <w:p w14:paraId="491D97F9" w14:textId="77777777" w:rsidR="005864C9" w:rsidRDefault="00000000">
      <w:pPr>
        <w:pStyle w:val="Listenabsatz"/>
        <w:numPr>
          <w:ilvl w:val="0"/>
          <w:numId w:val="2"/>
        </w:numPr>
        <w:spacing w:after="120"/>
      </w:pPr>
      <w:r>
        <w:t>Akzeptanz durch Piloten mit älteren Patientengruppen validieren</w:t>
      </w:r>
    </w:p>
    <w:p w14:paraId="0F5C0766" w14:textId="77777777" w:rsidR="005864C9" w:rsidRDefault="00000000">
      <w:pPr>
        <w:pStyle w:val="berschrift1"/>
      </w:pPr>
      <w:bookmarkStart w:id="19" w:name="_Toc225250892"/>
      <w:r>
        <w:t>18. Persönliche Ziele und Umsetzungsplanung</w:t>
      </w:r>
      <w:bookmarkEnd w:id="19"/>
    </w:p>
    <w:p w14:paraId="589482A9" w14:textId="77777777" w:rsidR="005864C9" w:rsidRDefault="00000000">
      <w:pPr>
        <w:spacing w:after="120"/>
      </w:pPr>
      <w:r>
        <w:rPr>
          <w:b/>
          <w:bCs/>
        </w:rPr>
        <w:t>Persönliche Ziele des Gründers</w:t>
      </w:r>
    </w:p>
    <w:p w14:paraId="5465667C" w14:textId="77777777" w:rsidR="005864C9" w:rsidRDefault="00000000">
      <w:pPr>
        <w:pStyle w:val="Listenabsatz"/>
        <w:numPr>
          <w:ilvl w:val="0"/>
          <w:numId w:val="2"/>
        </w:numPr>
        <w:spacing w:after="60"/>
      </w:pPr>
      <w:r>
        <w:t>Aufbau eines nachhaltigen Health-Tech-Unternehmens, das messbar zur Verbesserung des Gesundheitssystems beiträgt</w:t>
      </w:r>
    </w:p>
    <w:p w14:paraId="51197BC3" w14:textId="77777777" w:rsidR="005864C9" w:rsidRDefault="00000000">
      <w:pPr>
        <w:pStyle w:val="Listenabsatz"/>
        <w:numPr>
          <w:ilvl w:val="0"/>
          <w:numId w:val="2"/>
        </w:numPr>
        <w:spacing w:after="60"/>
      </w:pPr>
      <w:r>
        <w:t>Unabhängigkeit und eigenverantwortliches unternehmerisches Handeln</w:t>
      </w:r>
    </w:p>
    <w:p w14:paraId="59ADC413" w14:textId="77777777" w:rsidR="005864C9" w:rsidRDefault="00000000">
      <w:pPr>
        <w:pStyle w:val="Listenabsatz"/>
        <w:numPr>
          <w:ilvl w:val="0"/>
          <w:numId w:val="2"/>
        </w:numPr>
        <w:spacing w:after="60"/>
      </w:pPr>
      <w:r>
        <w:t>In fünf Jahren tausende Stunden ärztlicher Zeit für Patientenversorgung zurückgewinnen</w:t>
      </w:r>
    </w:p>
    <w:p w14:paraId="7A47FDBE" w14:textId="77777777" w:rsidR="005864C9" w:rsidRDefault="00000000">
      <w:pPr>
        <w:pStyle w:val="Listenabsatz"/>
        <w:numPr>
          <w:ilvl w:val="0"/>
          <w:numId w:val="2"/>
        </w:numPr>
        <w:spacing w:after="60"/>
      </w:pPr>
      <w:r>
        <w:t>Marktführerschaft (&gt;30 % Marktanteil bei PVE und größeren Praxen in Österreich)</w:t>
      </w:r>
    </w:p>
    <w:p w14:paraId="36DE50FE" w14:textId="77777777" w:rsidR="005864C9" w:rsidRDefault="00000000">
      <w:pPr>
        <w:pStyle w:val="Listenabsatz"/>
        <w:numPr>
          <w:ilvl w:val="0"/>
          <w:numId w:val="2"/>
        </w:numPr>
        <w:spacing w:after="120"/>
      </w:pPr>
      <w:r>
        <w:t>DACH-Expansion ab 2028–2029</w:t>
      </w:r>
    </w:p>
    <w:p w14:paraId="09D5FA91" w14:textId="77777777" w:rsidR="005864C9" w:rsidRDefault="00000000">
      <w:pPr>
        <w:spacing w:after="120"/>
      </w:pPr>
      <w:r>
        <w:rPr>
          <w:b/>
          <w:bCs/>
        </w:rPr>
        <w:t>Maßnahmen zur Zielerreichung</w:t>
      </w:r>
    </w:p>
    <w:p w14:paraId="70FA3B6E" w14:textId="77777777" w:rsidR="005864C9" w:rsidRDefault="00000000">
      <w:pPr>
        <w:spacing w:after="120"/>
      </w:pPr>
      <w:r>
        <w:t>Kurzfristige Maßnahmen (0–12 Monate): Förderzusage bis Q3 2026 einholen. Drei Letters of Intent von Pilotpartnern bis Q3 2026. Demo-fähigen MVP bis Q4 2026 fertigstellen (Telefonie, Gesprächsführung, Berichterstellung). Fünf aktive Pilotpraxen bis Q4 2027 gewinnen.</w:t>
      </w:r>
    </w:p>
    <w:p w14:paraId="4AC6D1FD" w14:textId="77777777" w:rsidR="005864C9" w:rsidRDefault="00000000">
      <w:pPr>
        <w:spacing w:after="120"/>
      </w:pPr>
      <w:r>
        <w:t>Mittelfristige Maßnahmen (1–3 Jahre): Kundenbasis auf ca. 19 zahlende Kunden bis Ende GJ1, ca. 42 bis Ende GJ2 ausbauen. Module für 3+ Fachbereiche bis Ende GJ2 entwickeln. Operativen Break-even bereits im ersten Geschäftsjahr (GJ1) erreichen.</w:t>
      </w:r>
    </w:p>
    <w:p w14:paraId="4872A775" w14:textId="77777777" w:rsidR="005864C9" w:rsidRDefault="00000000">
      <w:pPr>
        <w:spacing w:after="120"/>
      </w:pPr>
      <w:r>
        <w:t>Langfristige Maßnahmen (3–5 Jahre): DACH-Expansion vorbereiten und durchführen. Team gezielt aufbauen (Entwicklung, Vertrieb). Kumulative Profitabilität ab Ende 2027 sicherstellen und reinvestieren.</w:t>
      </w:r>
    </w:p>
    <w:p w14:paraId="718F1775" w14:textId="77777777" w:rsidR="005864C9" w:rsidRDefault="00000000">
      <w:pPr>
        <w:pStyle w:val="berschrift1"/>
      </w:pPr>
      <w:bookmarkStart w:id="20" w:name="_Toc225250893"/>
      <w:r>
        <w:t>19. Anhang und Anlagen</w:t>
      </w:r>
      <w:bookmarkEnd w:id="20"/>
    </w:p>
    <w:p w14:paraId="1983C92F" w14:textId="77777777" w:rsidR="005864C9" w:rsidRDefault="00000000">
      <w:pPr>
        <w:spacing w:after="120"/>
      </w:pPr>
      <w:r>
        <w:t>Dem Businessplan sind folgende Dokumente beizulegen:</w:t>
      </w:r>
    </w:p>
    <w:p w14:paraId="6FC9D648" w14:textId="77777777" w:rsidR="005864C9" w:rsidRDefault="00000000">
      <w:pPr>
        <w:pStyle w:val="Listenabsatz"/>
        <w:numPr>
          <w:ilvl w:val="0"/>
          <w:numId w:val="2"/>
        </w:numPr>
        <w:spacing w:after="60"/>
      </w:pPr>
      <w:r>
        <w:t>Lebenslauf des Gründers (Peter Fehringer, BSc. MSc.)</w:t>
      </w:r>
    </w:p>
    <w:p w14:paraId="2D2E6991" w14:textId="30633FA4" w:rsidR="005864C9" w:rsidRDefault="00000000">
      <w:pPr>
        <w:pStyle w:val="Listenabsatz"/>
        <w:numPr>
          <w:ilvl w:val="0"/>
          <w:numId w:val="2"/>
        </w:numPr>
        <w:spacing w:after="60"/>
      </w:pPr>
      <w:r>
        <w:t xml:space="preserve">Planrechnungen </w:t>
      </w:r>
    </w:p>
    <w:p w14:paraId="2BEE57A2" w14:textId="43108D19" w:rsidR="005864C9" w:rsidRDefault="005864C9" w:rsidP="00940DF7">
      <w:pPr>
        <w:pStyle w:val="Listenabsatz"/>
        <w:spacing w:after="120"/>
        <w:ind w:left="720"/>
      </w:pPr>
    </w:p>
    <w:sectPr w:rsidR="005864C9">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00B34" w14:textId="77777777" w:rsidR="003E2887" w:rsidRDefault="003E2887">
      <w:r>
        <w:separator/>
      </w:r>
    </w:p>
  </w:endnote>
  <w:endnote w:type="continuationSeparator" w:id="0">
    <w:p w14:paraId="6F17B7A8" w14:textId="77777777" w:rsidR="003E2887" w:rsidRDefault="003E2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6267B" w14:textId="77777777" w:rsidR="005864C9" w:rsidRDefault="00000000">
    <w:pPr>
      <w:jc w:val="center"/>
    </w:pPr>
    <w:r>
      <w:rPr>
        <w:color w:val="999999"/>
        <w:sz w:val="16"/>
        <w:szCs w:val="16"/>
      </w:rPr>
      <w:t xml:space="preserve">Seite </w:t>
    </w:r>
    <w:r>
      <w:rPr>
        <w:color w:val="999999"/>
        <w:sz w:val="16"/>
        <w:szCs w:val="16"/>
      </w:rPr>
      <w:fldChar w:fldCharType="begin"/>
    </w:r>
    <w:r>
      <w:rPr>
        <w:color w:val="999999"/>
        <w:sz w:val="16"/>
        <w:szCs w:val="16"/>
      </w:rPr>
      <w:instrText>PAGE</w:instrText>
    </w:r>
    <w:r>
      <w:rPr>
        <w:color w:val="999999"/>
        <w:sz w:val="16"/>
        <w:szCs w:val="16"/>
      </w:rPr>
      <w:fldChar w:fldCharType="separate"/>
    </w:r>
    <w:r w:rsidR="00D474E1">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7506C" w14:textId="77777777" w:rsidR="003E2887" w:rsidRDefault="003E2887">
      <w:r>
        <w:separator/>
      </w:r>
    </w:p>
  </w:footnote>
  <w:footnote w:type="continuationSeparator" w:id="0">
    <w:p w14:paraId="1BFB2881" w14:textId="77777777" w:rsidR="003E2887" w:rsidRDefault="003E2887">
      <w:r>
        <w:continuationSeparator/>
      </w:r>
    </w:p>
  </w:footnote>
  <w:footnote w:id="1">
    <w:p w14:paraId="70000002" w14:textId="77777777" w:rsidR="00983F93" w:rsidRDefault="00983F93">
      <w:pPr>
        <w:pStyle w:val="Funotentext"/>
      </w:pPr>
      <w:r>
        <w:rPr>
          <w:rStyle w:val="Funotenzeichen"/>
        </w:rPr>
        <w:footnoteRef/>
      </w:r>
      <w:r w:rsidRPr="00D45610">
        <w:rPr>
          <w:lang w:val="en-GB"/>
        </w:rPr>
        <w:t xml:space="preserve"> Hampton, J. R. et al. (1975): Relative contributions of history-taking, physical examination, and laboratory investigation to diagnosis and management of medical outpatients. </w:t>
      </w:r>
      <w:r>
        <w:t>BMJ, 2(5969), S. 486–489.</w:t>
      </w:r>
    </w:p>
  </w:footnote>
  <w:footnote w:id="2">
    <w:p w14:paraId="70000001" w14:textId="77777777" w:rsidR="00983F93" w:rsidRDefault="00983F93">
      <w:pPr>
        <w:pStyle w:val="Funotentext"/>
      </w:pPr>
      <w:r>
        <w:rPr>
          <w:rStyle w:val="Funotenzeichen"/>
        </w:rPr>
        <w:footnoteRef/>
      </w:r>
      <w:r>
        <w:t xml:space="preserve"> Österreichische Ärztekammer &amp; ETH Zürich, Evaluierung der Ausbildung 2024. Umfrage unter 4.800+ Turnusärzt:innen. OTS-Presseaussendung, 16. Oktober 2024.</w:t>
      </w:r>
    </w:p>
  </w:footnote>
  <w:footnote w:id="3">
    <w:p w14:paraId="70000005" w14:textId="77777777" w:rsidR="00983F93" w:rsidRDefault="00983F93">
      <w:pPr>
        <w:pStyle w:val="Funotentext"/>
      </w:pPr>
      <w:r>
        <w:rPr>
          <w:rStyle w:val="Funotenzeichen"/>
        </w:rPr>
        <w:footnoteRef/>
      </w:r>
      <w:r>
        <w:t xml:space="preserve"> ZEW Mannheim (2023): Kontaktzeiten bei Hausärzten in Europa. Studie im Auftrag des Verbände.</w:t>
      </w:r>
    </w:p>
  </w:footnote>
  <w:footnote w:id="4">
    <w:p w14:paraId="70000004" w14:textId="77777777" w:rsidR="00983F93" w:rsidRDefault="00983F93">
      <w:pPr>
        <w:pStyle w:val="Funotentext"/>
      </w:pPr>
      <w:r>
        <w:rPr>
          <w:rStyle w:val="Funotenzeichen"/>
        </w:rPr>
        <w:footnoteRef/>
      </w:r>
      <w:r>
        <w:t xml:space="preserve"> Österreichische Ärztekammer, Kassenstellen-Statistik, Stand Juli 2025. 311 unbesetzte Kassenstellen, davon 175 in der Allgemeinmedizin.</w:t>
      </w:r>
    </w:p>
  </w:footnote>
  <w:footnote w:id="5">
    <w:p w14:paraId="70000003" w14:textId="77777777" w:rsidR="00983F93" w:rsidRDefault="00983F93">
      <w:pPr>
        <w:pStyle w:val="Funotentext"/>
      </w:pPr>
      <w:r>
        <w:rPr>
          <w:rStyle w:val="Funotenzeichen"/>
        </w:rPr>
        <w:footnoteRef/>
      </w:r>
      <w:r>
        <w:t xml:space="preserve"> Österreichische Ärztekammer / Statistik Austria, Altersstrukturanalyse 2023–2024. Ca. 18.000–20.000 Ärzt:innen erreichen in den nächsten 10 Jahren das Pensionsalter.</w:t>
      </w:r>
    </w:p>
  </w:footnote>
  <w:footnote w:id="6">
    <w:p w14:paraId="70000010" w14:textId="77777777" w:rsidR="00983F93" w:rsidRDefault="00983F93">
      <w:pPr>
        <w:pStyle w:val="Funotentext"/>
      </w:pPr>
      <w:r>
        <w:rPr>
          <w:rStyle w:val="Funotenzeichen"/>
        </w:rPr>
        <w:footnoteRef/>
      </w:r>
      <w:r>
        <w:t xml:space="preserve"> Europäische Kommission: Verordnung (EU) 2025/327 – European Health Data Space (EHDS). In Kraft seit 26. März 2025, Anwendung Primärdatenaustausch ab März 2029.</w:t>
      </w:r>
    </w:p>
  </w:footnote>
  <w:footnote w:id="7">
    <w:p w14:paraId="7000000F" w14:textId="77777777" w:rsidR="00983F93" w:rsidRDefault="00983F93">
      <w:pPr>
        <w:pStyle w:val="Funotentext"/>
      </w:pPr>
      <w:r>
        <w:rPr>
          <w:rStyle w:val="Funotenzeichen"/>
        </w:rPr>
        <w:footnoteRef/>
      </w:r>
      <w:r>
        <w:t xml:space="preserve"> Gesellschaftsrechts-Änderungsgesetz 2023 (GesRÄG 2023), BGBl. I Nr. 179/2023. In Kraft seit 1. Jänner 2024. Mindeststammkapital von 35.000 auf 10.000 EUR gesenkt.</w:t>
      </w:r>
    </w:p>
  </w:footnote>
  <w:footnote w:id="8">
    <w:p w14:paraId="70000006" w14:textId="77777777" w:rsidR="00983F93" w:rsidRDefault="00983F93">
      <w:pPr>
        <w:pStyle w:val="Funotentext"/>
      </w:pPr>
      <w:r>
        <w:rPr>
          <w:rStyle w:val="Funotenzeichen"/>
        </w:rPr>
        <w:footnoteRef/>
      </w:r>
      <w:r>
        <w:t xml:space="preserve"> Österreichische Ärztekammer, Daten &amp; Fakten, Stand 2024. aerztekammer.at/daten-fakten</w:t>
      </w:r>
    </w:p>
  </w:footnote>
  <w:footnote w:id="9">
    <w:p w14:paraId="70000007" w14:textId="77777777" w:rsidR="00983F93" w:rsidRDefault="00983F93">
      <w:pPr>
        <w:pStyle w:val="Funotentext"/>
      </w:pPr>
      <w:r>
        <w:rPr>
          <w:rStyle w:val="Funotenzeichen"/>
        </w:rPr>
        <w:footnoteRef/>
      </w:r>
      <w:r>
        <w:t xml:space="preserve"> Bundesministerium für Soziales, Gesundheit, Pflege und Konsumentenschutz / PsyOnline.at, Stand 2025.</w:t>
      </w:r>
    </w:p>
  </w:footnote>
  <w:footnote w:id="10">
    <w:p w14:paraId="70000008" w14:textId="77777777" w:rsidR="00983F93" w:rsidRDefault="00983F93">
      <w:pPr>
        <w:pStyle w:val="Funotentext"/>
      </w:pPr>
      <w:r>
        <w:rPr>
          <w:rStyle w:val="Funotenzeichen"/>
        </w:rPr>
        <w:footnoteRef/>
      </w:r>
      <w:r>
        <w:t xml:space="preserve"> Statistik Austria / Bundesministerium für Gesundheit, Krankenanstaltenstatistik, Stand 2024.</w:t>
      </w:r>
    </w:p>
  </w:footnote>
  <w:footnote w:id="11">
    <w:p w14:paraId="70000009" w14:textId="77777777" w:rsidR="00983F93" w:rsidRPr="00D45610" w:rsidRDefault="00983F93">
      <w:pPr>
        <w:pStyle w:val="Funotentext"/>
        <w:rPr>
          <w:lang w:val="en-GB"/>
        </w:rPr>
      </w:pPr>
      <w:r>
        <w:rPr>
          <w:rStyle w:val="Funotenzeichen"/>
        </w:rPr>
        <w:footnoteRef/>
      </w:r>
      <w:r w:rsidRPr="00D45610">
        <w:rPr>
          <w:lang w:val="en-GB"/>
        </w:rPr>
        <w:t xml:space="preserve"> Europäische Kommission, EU Recovery and Resilience Plan Österreich: „Enhancing Primary Health Care“. 100 Mio. EUR für PVE-Ausbau.</w:t>
      </w:r>
    </w:p>
  </w:footnote>
  <w:footnote w:id="12">
    <w:p w14:paraId="7000000A" w14:textId="77777777" w:rsidR="00983F93" w:rsidRPr="00D45610" w:rsidRDefault="00983F93">
      <w:pPr>
        <w:pStyle w:val="Funotentext"/>
        <w:rPr>
          <w:lang w:val="en-GB"/>
        </w:rPr>
      </w:pPr>
      <w:r>
        <w:rPr>
          <w:rStyle w:val="Funotenzeichen"/>
        </w:rPr>
        <w:footnoteRef/>
      </w:r>
      <w:r w:rsidRPr="00D45610">
        <w:rPr>
          <w:lang w:val="en-GB"/>
        </w:rPr>
        <w:t xml:space="preserve"> Zakim, D. (2016): Development and evaluation of a computerized patient-directed medical history. In: Journal of the American Medical Informatics Association. Studie mit 762 kardiologischen Patient:innen.</w:t>
      </w:r>
    </w:p>
  </w:footnote>
  <w:footnote w:id="13">
    <w:p w14:paraId="7000000E" w14:textId="77777777" w:rsidR="00983F93" w:rsidRDefault="00983F93">
      <w:pPr>
        <w:pStyle w:val="Funotentext"/>
      </w:pPr>
      <w:r>
        <w:rPr>
          <w:rStyle w:val="Funotenzeichen"/>
        </w:rPr>
        <w:footnoteRef/>
      </w:r>
      <w:r>
        <w:t xml:space="preserve"> Bundesregierung Österreich / Digital Austria (2024): eHealth-Strategie 2024–2030. digitalaustria.gv.at</w:t>
      </w:r>
    </w:p>
  </w:footnote>
  <w:footnote w:id="14">
    <w:p w14:paraId="7000000D" w14:textId="77777777" w:rsidR="00983F93" w:rsidRDefault="00983F93">
      <w:pPr>
        <w:pStyle w:val="Funotentext"/>
      </w:pPr>
      <w:r>
        <w:rPr>
          <w:rStyle w:val="Funotenzeichen"/>
        </w:rPr>
        <w:footnoteRef/>
      </w:r>
      <w:r w:rsidRPr="00D45610">
        <w:rPr>
          <w:lang w:val="en-GB"/>
        </w:rPr>
        <w:t xml:space="preserve"> Market.us (2024): Voice AI Infrastructure Market Report 2024–2034. </w:t>
      </w:r>
      <w:r>
        <w:t>CAGR 37,79 % für Healthcare Conversational AI.</w:t>
      </w:r>
    </w:p>
  </w:footnote>
  <w:footnote w:id="15">
    <w:p w14:paraId="7000000C" w14:textId="77777777" w:rsidR="00983F93" w:rsidRDefault="00983F93">
      <w:pPr>
        <w:pStyle w:val="Funotentext"/>
      </w:pPr>
      <w:r>
        <w:rPr>
          <w:rStyle w:val="Funotenzeichen"/>
        </w:rPr>
        <w:footnoteRef/>
      </w:r>
      <w:r>
        <w:t xml:space="preserve"> Metaanalyse diverser Studien zu KI-gestützter medizinischer Dokumentation, u. a. Nuance/Microsoft (2024), Abridge Clinical Studies (2023). Spanne: 28–40 % Zeitersparnis bei der Dokumentation.</w:t>
      </w:r>
    </w:p>
  </w:footnote>
  <w:footnote w:id="16">
    <w:p w14:paraId="7000000B" w14:textId="77777777" w:rsidR="00983F93" w:rsidRDefault="00983F93">
      <w:pPr>
        <w:pStyle w:val="Funotentext"/>
      </w:pPr>
      <w:r>
        <w:rPr>
          <w:rStyle w:val="Funotenzeichen"/>
        </w:rPr>
        <w:footnoteRef/>
      </w:r>
      <w:r>
        <w:t xml:space="preserve"> Österreichische Ärztekammer / IMAS (2019): Spitalsärzte-Umfrage zu Arbeitsbedingungen. Dokumentations- und Verwaltungsaufwand: 37–39 % gesamt, 44–48 % bei Turnusärzt:innen.</w:t>
      </w:r>
    </w:p>
  </w:footnote>
  <w:footnote w:id="17">
    <w:p w14:paraId="70000011" w14:textId="77777777" w:rsidR="00983F93" w:rsidRDefault="00983F93">
      <w:pPr>
        <w:pStyle w:val="Funotentext"/>
      </w:pPr>
      <w:r>
        <w:rPr>
          <w:rStyle w:val="Funotenzeichen"/>
        </w:rPr>
        <w:footnoteRef/>
      </w:r>
      <w:r>
        <w:t xml:space="preserve"> Idana AG, Unternehmenswebseite idana.com, Stand 2025. Preise: idana.com/preise/</w:t>
      </w:r>
    </w:p>
  </w:footnote>
  <w:footnote w:id="18">
    <w:p w14:paraId="70000012" w14:textId="77777777" w:rsidR="00983F93" w:rsidRDefault="00983F93">
      <w:pPr>
        <w:pStyle w:val="Funotentext"/>
      </w:pPr>
      <w:r>
        <w:rPr>
          <w:rStyle w:val="Funotenzeichen"/>
        </w:rPr>
        <w:footnoteRef/>
      </w:r>
      <w:r>
        <w:t xml:space="preserve"> CompuGroup Medical SE (2024): Pressemitteilung zur Übernahme von AmbulApps, Juni 2024. cgm.com</w:t>
      </w:r>
    </w:p>
  </w:footnote>
  <w:footnote w:id="19">
    <w:p w14:paraId="70000013" w14:textId="77777777" w:rsidR="00983F93" w:rsidRDefault="00983F93">
      <w:pPr>
        <w:pStyle w:val="Funotentext"/>
      </w:pPr>
      <w:r>
        <w:rPr>
          <w:rStyle w:val="Funotenzeichen"/>
        </w:rPr>
        <w:footnoteRef/>
      </w:r>
      <w:r>
        <w:t xml:space="preserve"> Nelly Solutions GmbH: Series-B-Finanzierungsrunde. getnelly.de/blog/nelly-series-b. Hinweis: Die Series B betrug 50 Mio. EUR; die Gesamtfinanzierung beläuft sich auf ca. 65 Mio. EUR.</w:t>
      </w:r>
    </w:p>
  </w:footnote>
  <w:footnote w:id="20">
    <w:p w14:paraId="70000014" w14:textId="77777777" w:rsidR="00983F93" w:rsidRDefault="00983F93">
      <w:pPr>
        <w:pStyle w:val="Funotentext"/>
      </w:pPr>
      <w:r>
        <w:rPr>
          <w:rStyle w:val="Funotenzeichen"/>
        </w:rPr>
        <w:footnoteRef/>
      </w:r>
      <w:r>
        <w:t xml:space="preserve"> Neugründungs-Förderungsgesetz (NEUFÖG), BGBl. I Nr. 106/1999. Befreiung von Stempelgebühren, Verwaltungsabgaben und Lohnnebenkosten. WKO: wko.at/steuern/neugruendungs-foerderungsgesetz-neugruender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1C23F" w14:textId="77777777" w:rsidR="005864C9" w:rsidRDefault="00000000">
    <w:pPr>
      <w:pBdr>
        <w:bottom w:val="single" w:sz="1" w:space="1" w:color="CCCCCC"/>
      </w:pBdr>
      <w:tabs>
        <w:tab w:val="right" w:pos="9026"/>
      </w:tabs>
    </w:pPr>
    <w:r>
      <w:rPr>
        <w:color w:val="999999"/>
        <w:sz w:val="16"/>
        <w:szCs w:val="16"/>
      </w:rPr>
      <w:t xml:space="preserve">Businessplan – </w:t>
    </w:r>
    <w:proofErr w:type="spellStart"/>
    <w:r>
      <w:rPr>
        <w:color w:val="999999"/>
        <w:sz w:val="16"/>
        <w:szCs w:val="16"/>
      </w:rPr>
      <w:t>Anamnic</w:t>
    </w:r>
    <w:proofErr w:type="spellEnd"/>
    <w:r>
      <w:rPr>
        <w:color w:val="999999"/>
        <w:sz w:val="16"/>
        <w:szCs w:val="16"/>
      </w:rPr>
      <w:t xml:space="preserve"> GmbH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D625D"/>
    <w:multiLevelType w:val="hybridMultilevel"/>
    <w:tmpl w:val="C2F86052"/>
    <w:lvl w:ilvl="0" w:tplc="7FE8574E">
      <w:start w:val="1"/>
      <w:numFmt w:val="bullet"/>
      <w:lvlText w:val="•"/>
      <w:lvlJc w:val="left"/>
      <w:pPr>
        <w:ind w:left="720" w:hanging="360"/>
      </w:pPr>
    </w:lvl>
    <w:lvl w:ilvl="1" w:tplc="AC167AB0">
      <w:start w:val="1"/>
      <w:numFmt w:val="bullet"/>
      <w:lvlText w:val="–"/>
      <w:lvlJc w:val="left"/>
      <w:pPr>
        <w:ind w:left="1440" w:hanging="360"/>
      </w:pPr>
    </w:lvl>
    <w:lvl w:ilvl="2" w:tplc="1FC8932C">
      <w:numFmt w:val="decimal"/>
      <w:lvlText w:val=""/>
      <w:lvlJc w:val="left"/>
    </w:lvl>
    <w:lvl w:ilvl="3" w:tplc="6F5A6366">
      <w:numFmt w:val="decimal"/>
      <w:lvlText w:val=""/>
      <w:lvlJc w:val="left"/>
    </w:lvl>
    <w:lvl w:ilvl="4" w:tplc="A8B82374">
      <w:numFmt w:val="decimal"/>
      <w:lvlText w:val=""/>
      <w:lvlJc w:val="left"/>
    </w:lvl>
    <w:lvl w:ilvl="5" w:tplc="74D6BAE6">
      <w:numFmt w:val="decimal"/>
      <w:lvlText w:val=""/>
      <w:lvlJc w:val="left"/>
    </w:lvl>
    <w:lvl w:ilvl="6" w:tplc="B06CA07A">
      <w:numFmt w:val="decimal"/>
      <w:lvlText w:val=""/>
      <w:lvlJc w:val="left"/>
    </w:lvl>
    <w:lvl w:ilvl="7" w:tplc="DA56C94E">
      <w:numFmt w:val="decimal"/>
      <w:lvlText w:val=""/>
      <w:lvlJc w:val="left"/>
    </w:lvl>
    <w:lvl w:ilvl="8" w:tplc="716495E8">
      <w:numFmt w:val="decimal"/>
      <w:lvlText w:val=""/>
      <w:lvlJc w:val="left"/>
    </w:lvl>
  </w:abstractNum>
  <w:abstractNum w:abstractNumId="1" w15:restartNumberingAfterBreak="0">
    <w:nsid w:val="3165362A"/>
    <w:multiLevelType w:val="hybridMultilevel"/>
    <w:tmpl w:val="2910D4A2"/>
    <w:lvl w:ilvl="0" w:tplc="E9167426">
      <w:start w:val="1"/>
      <w:numFmt w:val="bullet"/>
      <w:lvlText w:val="●"/>
      <w:lvlJc w:val="left"/>
      <w:pPr>
        <w:ind w:left="720" w:hanging="360"/>
      </w:pPr>
    </w:lvl>
    <w:lvl w:ilvl="1" w:tplc="68F2A414">
      <w:start w:val="1"/>
      <w:numFmt w:val="bullet"/>
      <w:lvlText w:val="○"/>
      <w:lvlJc w:val="left"/>
      <w:pPr>
        <w:ind w:left="1440" w:hanging="360"/>
      </w:pPr>
    </w:lvl>
    <w:lvl w:ilvl="2" w:tplc="2B748AB6">
      <w:start w:val="1"/>
      <w:numFmt w:val="bullet"/>
      <w:lvlText w:val="■"/>
      <w:lvlJc w:val="left"/>
      <w:pPr>
        <w:ind w:left="2160" w:hanging="360"/>
      </w:pPr>
    </w:lvl>
    <w:lvl w:ilvl="3" w:tplc="06DA5082">
      <w:start w:val="1"/>
      <w:numFmt w:val="bullet"/>
      <w:lvlText w:val="●"/>
      <w:lvlJc w:val="left"/>
      <w:pPr>
        <w:ind w:left="2880" w:hanging="360"/>
      </w:pPr>
    </w:lvl>
    <w:lvl w:ilvl="4" w:tplc="18D4E3F2">
      <w:start w:val="1"/>
      <w:numFmt w:val="bullet"/>
      <w:lvlText w:val="○"/>
      <w:lvlJc w:val="left"/>
      <w:pPr>
        <w:ind w:left="3600" w:hanging="360"/>
      </w:pPr>
    </w:lvl>
    <w:lvl w:ilvl="5" w:tplc="59E03BCC">
      <w:start w:val="1"/>
      <w:numFmt w:val="bullet"/>
      <w:lvlText w:val="■"/>
      <w:lvlJc w:val="left"/>
      <w:pPr>
        <w:ind w:left="4320" w:hanging="360"/>
      </w:pPr>
    </w:lvl>
    <w:lvl w:ilvl="6" w:tplc="5204D2AC">
      <w:start w:val="1"/>
      <w:numFmt w:val="bullet"/>
      <w:lvlText w:val="●"/>
      <w:lvlJc w:val="left"/>
      <w:pPr>
        <w:ind w:left="5040" w:hanging="360"/>
      </w:pPr>
    </w:lvl>
    <w:lvl w:ilvl="7" w:tplc="AB4E7FD2">
      <w:start w:val="1"/>
      <w:numFmt w:val="bullet"/>
      <w:lvlText w:val="●"/>
      <w:lvlJc w:val="left"/>
      <w:pPr>
        <w:ind w:left="5760" w:hanging="360"/>
      </w:pPr>
    </w:lvl>
    <w:lvl w:ilvl="8" w:tplc="1A827026">
      <w:start w:val="1"/>
      <w:numFmt w:val="bullet"/>
      <w:lvlText w:val="●"/>
      <w:lvlJc w:val="left"/>
      <w:pPr>
        <w:ind w:left="6480" w:hanging="360"/>
      </w:pPr>
    </w:lvl>
  </w:abstractNum>
  <w:num w:numId="1" w16cid:durableId="1654337148">
    <w:abstractNumId w:val="1"/>
    <w:lvlOverride w:ilvl="0">
      <w:startOverride w:val="1"/>
    </w:lvlOverride>
  </w:num>
  <w:num w:numId="2" w16cid:durableId="12364718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4C9"/>
    <w:rsid w:val="00383840"/>
    <w:rsid w:val="003E2887"/>
    <w:rsid w:val="005864C9"/>
    <w:rsid w:val="005C324C"/>
    <w:rsid w:val="00940DF7"/>
    <w:rsid w:val="00983F93"/>
    <w:rsid w:val="00A2579B"/>
    <w:rsid w:val="00D45610"/>
    <w:rsid w:val="00D474E1"/>
    <w:rsid w:val="00FE423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1621E"/>
  <w15:docId w15:val="{CF08F9E7-9089-489B-B82D-82A08668A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200"/>
      <w:outlineLvl w:val="0"/>
    </w:pPr>
    <w:rPr>
      <w:b/>
      <w:bCs/>
      <w:color w:val="E8871E"/>
      <w:sz w:val="32"/>
      <w:szCs w:val="32"/>
    </w:rPr>
  </w:style>
  <w:style w:type="paragraph" w:styleId="berschrift2">
    <w:name w:val="heading 2"/>
    <w:uiPriority w:val="9"/>
    <w:unhideWhenUsed/>
    <w:qFormat/>
    <w:pPr>
      <w:spacing w:before="240" w:after="160"/>
      <w:outlineLvl w:val="1"/>
    </w:pPr>
    <w:rPr>
      <w:b/>
      <w:bCs/>
      <w:color w:val="E8871E"/>
      <w:sz w:val="26"/>
      <w:szCs w:val="26"/>
    </w:rPr>
  </w:style>
  <w:style w:type="paragraph" w:styleId="berschrift3">
    <w:name w:val="heading 3"/>
    <w:uiPriority w:val="9"/>
    <w:semiHidden/>
    <w:unhideWhenUsed/>
    <w:qFormat/>
    <w:pPr>
      <w:spacing w:before="200" w:after="120"/>
      <w:outlineLvl w:val="2"/>
    </w:pPr>
    <w:rPr>
      <w:b/>
      <w:bCs/>
      <w:color w:val="333333"/>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semiHidden/>
    <w:unhideWhenUsed/>
    <w:rPr>
      <w:vertAlign w:val="superscript"/>
    </w:rPr>
  </w:style>
  <w:style w:type="paragraph" w:styleId="Funotentext">
    <w:name w:val="footnote text"/>
    <w:link w:val="FunotentextZchn"/>
    <w:semiHidden/>
    <w:unhideWhenUsed/>
    <w:rPr>
      <w:sz w:val="18"/>
      <w:szCs w:val="18"/>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Inhaltsverzeichnisberschrift">
    <w:name w:val="TOC Heading"/>
    <w:basedOn w:val="berschrift1"/>
    <w:next w:val="Standard"/>
    <w:uiPriority w:val="39"/>
    <w:unhideWhenUsed/>
    <w:qFormat/>
    <w:rsid w:val="00D474E1"/>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Verzeichnis1">
    <w:name w:val="toc 1"/>
    <w:basedOn w:val="Standard"/>
    <w:next w:val="Standard"/>
    <w:autoRedefine/>
    <w:uiPriority w:val="39"/>
    <w:unhideWhenUsed/>
    <w:rsid w:val="00D474E1"/>
    <w:pPr>
      <w:spacing w:after="100"/>
    </w:pPr>
  </w:style>
  <w:style w:type="paragraph" w:styleId="Verzeichnis2">
    <w:name w:val="toc 2"/>
    <w:basedOn w:val="Standard"/>
    <w:next w:val="Standard"/>
    <w:autoRedefine/>
    <w:uiPriority w:val="39"/>
    <w:unhideWhenUsed/>
    <w:rsid w:val="00D474E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1914A-535A-4F88-8080-35994B55E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3561</Words>
  <Characters>22437</Characters>
  <Application>Microsoft Office Word</Application>
  <DocSecurity>0</DocSecurity>
  <Lines>186</Lines>
  <Paragraphs>51</Paragraphs>
  <ScaleCrop>false</ScaleCrop>
  <Company/>
  <LinksUpToDate>false</LinksUpToDate>
  <CharactersWithSpaces>25947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Fehringer Michaela</cp:lastModifiedBy>
  <cp:revision>4</cp:revision>
  <dcterms:created xsi:type="dcterms:W3CDTF">2026-03-24T12:19:00Z</dcterms:created>
  <dcterms:modified xsi:type="dcterms:W3CDTF">2026-03-25T07:36:00Z</dcterms:modified>
</cp:coreProperties>
</file>