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KI-Führerschein Klasse 7</w:t>
      </w:r>
    </w:p>
    <w:p>
      <w:pPr>
        <w:jc w:val="center"/>
      </w:pPr>
      <w:r>
        <w:rPr>
          <w:b/>
          <w:sz w:val="28"/>
        </w:rPr>
        <w:t>Übergabedokument für die Entwicklung einer gemeinsamen Lernplattform</w:t>
      </w:r>
    </w:p>
    <w:p>
      <w:pPr>
        <w:jc w:val="center"/>
      </w:pPr>
      <w:r>
        <w:t>Funktionsbeschreibung, Inhalte, Lernlogik und technische Anforderungen der vorhandenen Module</w:t>
      </w:r>
    </w:p>
    <w:p>
      <w:pPr>
        <w:pStyle w:val="Heading1"/>
      </w:pPr>
      <w:r>
        <w:t>1. Zielbild</w:t>
      </w:r>
    </w:p>
    <w:p>
      <w:r>
        <w:t>Aus den vorhandenen Einzelanwendungen soll eine gemeinsame, schülergerechte Plattform „KI-Führerschein Klasse 7“ entstehen. Die vorhandenen HTML-Dateien dienen als fachliche und funktionale Referenz. Die neue Umsetzung soll die Inhalte und wesentlichen Interaktionen übernehmen, aber Navigation, Gestaltung, Fortschritt, Speicherung und Abschluss systematisch vereinheitlichen.</w:t>
      </w:r>
    </w:p>
    <w:p>
      <w:pPr>
        <w:pStyle w:val="Heading1"/>
      </w:pPr>
      <w:r>
        <w:t>2. Vorgesehener Lernpfad</w:t>
      </w:r>
    </w:p>
    <w:p>
      <w:pPr>
        <w:pStyle w:val="Heading2"/>
      </w:pPr>
      <w:r>
        <w:t>Modul 1 · KI verstehen</w:t>
      </w:r>
    </w:p>
    <w:p>
      <w:r>
        <w:t>Trainingsdaten, Mustererkennung, Vielfalt von Beispielen, falsche Muster bzw. irreführende Hinweise, Funktionsprinzip von Sprach-KI und schrittweiser Satzaufbau.</w:t>
      </w:r>
    </w:p>
    <w:p>
      <w:pPr>
        <w:pStyle w:val="Heading2"/>
      </w:pPr>
      <w:r>
        <w:t>Modul 2 · KI sinnvoll nutzen</w:t>
      </w:r>
    </w:p>
    <w:p>
      <w:r>
        <w:t>KI als Lernwerkzeug, Fehler erkennen, Informationen prüfen, gute Lernprompts formulieren, sinnvolle und problematische Nutzung beurteilen, Datenschutz, Verantwortung und schulische Regeln.</w:t>
      </w:r>
    </w:p>
    <w:p>
      <w:pPr>
        <w:pStyle w:val="Heading2"/>
      </w:pPr>
      <w:r>
        <w:t>Modul 3 · KI &amp; Nachhaltigkeit</w:t>
      </w:r>
    </w:p>
    <w:p>
      <w:r>
        <w:t>Ressourcen hinter KI, Strom und Kühlung, Wasserverbrauch, Rohstoffe und Infrastruktur, Energievergleiche sowie bewusste Entscheidungen über den Einsatz von KI.</w:t>
      </w:r>
    </w:p>
    <w:p>
      <w:pPr>
        <w:pStyle w:val="Heading2"/>
      </w:pPr>
      <w:r>
        <w:t>Abschluss · KI-Führerschein</w:t>
      </w:r>
    </w:p>
    <w:p>
      <w:r>
        <w:t>Gemeinsame Abschlussübersicht und Zertifikat erst nach Erfüllung der festgelegten Abschlussbedingungen aller Pflichtmodule.</w:t>
      </w:r>
    </w:p>
    <w:p>
      <w:pPr>
        <w:pStyle w:val="Heading1"/>
      </w:pPr>
      <w:r>
        <w:t>3. Modul 1 · KI verstehen</w:t>
      </w:r>
    </w:p>
    <w:p>
      <w:r>
        <w:t>Didaktisches Leitprinzip: beobachten → vermuten → ausprobieren → prüfen → Rückmeldung erhalten → Merksatz sichern. Das Modul arbeitet bewusst mit vereinfachten Simulationen und muss deutlich darauf hinweisen, dass keine echte KI trainiert wird und dargestellte Wahrscheinlichkeiten didaktisch vereinfacht sein können.</w:t>
      </w:r>
    </w:p>
    <w:p>
      <w:pPr>
        <w:pStyle w:val="ListBullet"/>
      </w:pPr>
      <w:r>
        <w:t>Interaktive Bilderkennung mit Pferdebeispielen: Menge und Vielfalt von Trainingsdaten sichtbar machen.</w:t>
      </w:r>
    </w:p>
    <w:p>
      <w:pPr>
        <w:pStyle w:val="ListBullet"/>
      </w:pPr>
      <w:r>
        <w:t>Wasserzeichen-Rätsel: zeigen, dass ein System auch irrelevante bzw. falsche Hinweise lernen kann.</w:t>
      </w:r>
    </w:p>
    <w:p>
      <w:pPr>
        <w:pStyle w:val="ListBullet"/>
      </w:pPr>
      <w:r>
        <w:t>Sprach-KI: Wortfortsetzungen und Einfluss des bisherigen Kontexts anschaulich machen.</w:t>
      </w:r>
    </w:p>
    <w:p>
      <w:pPr>
        <w:pStyle w:val="ListBullet"/>
      </w:pPr>
      <w:r>
        <w:t>Satzwerkstatt: schrittweiser Aufbau eines Satzes als vereinfachtes Modell zeigen.</w:t>
      </w:r>
    </w:p>
    <w:p>
      <w:pPr>
        <w:pStyle w:val="ListBullet"/>
      </w:pPr>
      <w:r>
        <w:t>Kurze Texte, große Bedienelemente, direktes Feedback, Merksätze und möglichst eine Vorlesefunktion.</w:t>
      </w:r>
    </w:p>
    <w:p>
      <w:pPr>
        <w:pStyle w:val="Heading1"/>
      </w:pPr>
      <w:r>
        <w:t>4. Modul 2 · KI sinnvoll nutzen</w:t>
      </w:r>
    </w:p>
    <w:p>
      <w:pPr>
        <w:pStyle w:val="ListBullet"/>
      </w:pPr>
      <w:r>
        <w:t>Einstiegsreflexion: Ist KI „schlauer“ als ein Mensch? Begründung in Partnerarbeit.</w:t>
      </w:r>
    </w:p>
    <w:p>
      <w:pPr>
        <w:pStyle w:val="ListBullet"/>
      </w:pPr>
      <w:r>
        <w:t>Praktisches Fehlerexperiment mit einer von der Schule freigegebenen KI; keine persönlichen Daten eingeben.</w:t>
      </w:r>
    </w:p>
    <w:p>
      <w:pPr>
        <w:pStyle w:val="ListBullet"/>
      </w:pPr>
      <w:r>
        <w:t>Quiz zu überzeugend klingenden, aber möglicherweise falschen KI-Antworten.</w:t>
      </w:r>
    </w:p>
    <w:p>
      <w:pPr>
        <w:pStyle w:val="ListBullet"/>
      </w:pPr>
      <w:r>
        <w:t>Fünf Grundsätze: KI als Werkzeug, prüfen, zum Lernen einsetzen, genau fragen, kritisch bleiben.</w:t>
      </w:r>
    </w:p>
    <w:p>
      <w:pPr>
        <w:pStyle w:val="ListBullet"/>
      </w:pPr>
      <w:r>
        <w:t>Prompt-Challenge mit eigenem Lernprompt.</w:t>
      </w:r>
    </w:p>
    <w:p>
      <w:pPr>
        <w:pStyle w:val="ListBullet"/>
      </w:pPr>
      <w:r>
        <w:t>Alltagssituationen beurteilen, etwa Erklärhilfe versus vollständiges Übernehmen einer KI-Lösung.</w:t>
      </w:r>
    </w:p>
    <w:p>
      <w:pPr>
        <w:pStyle w:val="ListBullet"/>
      </w:pPr>
      <w:r>
        <w:t>Abschlusstest sowie persönliche KI-Regeln.</w:t>
      </w:r>
    </w:p>
    <w:p>
      <w:r>
        <w:rPr>
          <w:b/>
        </w:rPr>
        <w:t xml:space="preserve">Wichtig für die Neuentwicklung: </w:t>
      </w:r>
      <w:r>
        <w:t>Bearbeitungsfortschritt und fachliche Leistung sollten getrennt werden. Reine Textlänge oder das Bestätigen eines gelesenen Abschnitts sollte nicht automatisch als fachlich richtige Leistung gelten. Lernorientierte Wiederholungsversuche sind vorzusehen.</w:t>
      </w:r>
    </w:p>
    <w:p>
      <w:pPr>
        <w:pStyle w:val="Heading1"/>
      </w:pPr>
      <w:r>
        <w:t>5. Modul 3 · KI &amp; Nachhaltigkeit</w:t>
      </w:r>
    </w:p>
    <w:p>
      <w:pPr>
        <w:pStyle w:val="Heading2"/>
      </w:pPr>
      <w:r>
        <w:t>Station 1 · Ressourcen</w:t>
      </w:r>
    </w:p>
    <w:p>
      <w:r>
        <w:t>Interaktive Auswahl und Informationskarten zu Strom, Wasser, Rohstoffen, Fläche, Kühlung, Kupfer, seltenen Erden, Datennetzen, Menschen, Gebäuden, Trainingsdaten und Transport. Quellen und Bezugswerte transparent kennzeichnen.</w:t>
      </w:r>
    </w:p>
    <w:p>
      <w:pPr>
        <w:pStyle w:val="Heading2"/>
      </w:pPr>
      <w:r>
        <w:t>Station 2 · Filmcheck</w:t>
      </w:r>
    </w:p>
    <w:p>
      <w:r>
        <w:t>Film/externes Medium zu Energie und Rechenzentren mit anschließendem Richtig/Falsch-Check. Für gesperrte oder nicht erreichbare Medien eine alternative Bearbeitung anbieten.</w:t>
      </w:r>
    </w:p>
    <w:p>
      <w:pPr>
        <w:pStyle w:val="Heading2"/>
      </w:pPr>
      <w:r>
        <w:t>Station 3 · Wasser</w:t>
      </w:r>
    </w:p>
    <w:p>
      <w:r>
        <w:t>Mit einer Beispielklasse die Zahl von KI-Anfragen hochrechnen; anschließend den didaktischen Vergleich mit Wasser und Toilettenspülungen bearbeiten. Näherungswerte ausdrücklich als Modellwerte kennzeichnen.</w:t>
      </w:r>
    </w:p>
    <w:p>
      <w:pPr>
        <w:pStyle w:val="Heading2"/>
      </w:pPr>
      <w:r>
        <w:t>Station 4 · Handy-Akku</w:t>
      </w:r>
    </w:p>
    <w:p>
      <w:r>
        <w:t>Interaktives Rechenmodell, das den Energiebedarf vieler kleiner KI-Anfragen über einen verständlichen Gerätevergleich vermittelt.</w:t>
      </w:r>
    </w:p>
    <w:p>
      <w:pPr>
        <w:pStyle w:val="Heading2"/>
      </w:pPr>
      <w:r>
        <w:t>Station 5 · KI im Alltag</w:t>
      </w:r>
    </w:p>
    <w:p>
      <w:r>
        <w:t>Transfer: Wann ist der Einsatz von KI sinnvoll und wann kann auf unnötige KI-Nutzung verzichtet werden?</w:t>
      </w:r>
    </w:p>
    <w:p>
      <w:pPr>
        <w:pStyle w:val="Heading1"/>
      </w:pPr>
      <w:r>
        <w:t>6. Gemeinsame Plattformlogik</w:t>
      </w:r>
    </w:p>
    <w:p>
      <w:pPr>
        <w:pStyle w:val="ListBullet"/>
      </w:pPr>
      <w:r>
        <w:t>Ein gemeinsames Dashboard zeigt alle Module und ihren Status.</w:t>
      </w:r>
    </w:p>
    <w:p>
      <w:pPr>
        <w:pStyle w:val="ListBullet"/>
      </w:pPr>
      <w:r>
        <w:t>Einheitliche Statuswerte: noch nicht begonnen, in Bearbeitung, abgeschlossen, bestanden.</w:t>
      </w:r>
    </w:p>
    <w:p>
      <w:pPr>
        <w:pStyle w:val="ListBullet"/>
      </w:pPr>
      <w:r>
        <w:t>Einheitliche Navigation innerhalb der Plattform: Zurück, Weiter, Modulübersicht.</w:t>
      </w:r>
    </w:p>
    <w:p>
      <w:pPr>
        <w:pStyle w:val="ListBullet"/>
      </w:pPr>
      <w:r>
        <w:t>Fortschritt bleibt beim Neuladen erhalten.</w:t>
      </w:r>
    </w:p>
    <w:p>
      <w:pPr>
        <w:pStyle w:val="ListBullet"/>
      </w:pPr>
      <w:r>
        <w:t>Jedes Modul besitzt einen eigenen Speicherbereich; Zustände dürfen sich nicht gegenseitig überschreiben.</w:t>
      </w:r>
    </w:p>
    <w:p>
      <w:pPr>
        <w:pStyle w:val="ListBullet"/>
      </w:pPr>
      <w:r>
        <w:t>Das Zertifikat wird erst freigeschaltet, wenn die definierten Pflichtmodule erfolgreich abgeschlossen sind.</w:t>
      </w:r>
    </w:p>
    <w:p>
      <w:pPr>
        <w:pStyle w:val="ListBullet"/>
      </w:pPr>
      <w:r>
        <w:t>Bei lokalem Betrieb soll die Plattform ohne Benutzerkonto funktionieren; externe Medien und Bilder müssen als solche erkennbar sein.</w:t>
      </w:r>
    </w:p>
    <w:p>
      <w:pPr>
        <w:pStyle w:val="Heading1"/>
      </w:pPr>
      <w:r>
        <w:t>7. Einheitliches Designsystem</w:t>
      </w:r>
    </w:p>
    <w:p>
      <w:r>
        <w:t>Die Module dürfen thematisch unterschiedliche Akzentfarben besitzen, sollen aber eindeutig zu derselben Plattform gehören. Empfohlene Grundstruktur: dunkles Petrol als Plattformfarbe, Blau für „KI verstehen“, Blau/Violett für „KI sinnvoll nutzen“, Grün/Türkis für Nachhaltigkeit und Gold für Abschluss/Zertifikat.</w:t>
      </w:r>
    </w:p>
    <w:p>
      <w:pPr>
        <w:pStyle w:val="ListBullet"/>
      </w:pPr>
      <w:r>
        <w:t>einheitlicher Plattformkopf und Modulheader</w:t>
      </w:r>
    </w:p>
    <w:p>
      <w:pPr>
        <w:pStyle w:val="ListBullet"/>
      </w:pPr>
      <w:r>
        <w:t>einheitliche Fortschrittsanzeige</w:t>
      </w:r>
    </w:p>
    <w:p>
      <w:pPr>
        <w:pStyle w:val="ListBullet"/>
      </w:pPr>
      <w:r>
        <w:t>Aufgabenbox, Informationsbox, Warnhinweis und Merksatzbox als wiederverwendbare Komponenten</w:t>
      </w:r>
    </w:p>
    <w:p>
      <w:pPr>
        <w:pStyle w:val="ListBullet"/>
      </w:pPr>
      <w:r>
        <w:t>einheitliche Quiz- und Feedbackdarstellung</w:t>
      </w:r>
    </w:p>
    <w:p>
      <w:pPr>
        <w:pStyle w:val="ListBullet"/>
      </w:pPr>
      <w:r>
        <w:t>große, touchfreundliche Schaltflächen</w:t>
      </w:r>
    </w:p>
    <w:p>
      <w:pPr>
        <w:pStyle w:val="ListBullet"/>
      </w:pPr>
      <w:r>
        <w:t>responsive Darstellung für Notebook, Tablet und Smartphone</w:t>
      </w:r>
    </w:p>
    <w:p>
      <w:pPr>
        <w:pStyle w:val="ListBullet"/>
      </w:pPr>
      <w:r>
        <w:t>Druckansicht für geeignete Zusammenfassungen und Zertifikat</w:t>
      </w:r>
    </w:p>
    <w:p>
      <w:pPr>
        <w:pStyle w:val="Heading1"/>
      </w:pPr>
      <w:r>
        <w:t>8. Barrierefreiheit und Zielgruppe</w:t>
      </w:r>
    </w:p>
    <w:p>
      <w:r>
        <w:t>Zielgruppe ist Klasse 7, einschließlich Lernender mit geringer Lesekompetenz. Deshalb sollten kurze Textabschnitte, klare Überschriften, große Bedienelemente, verständliche Rückmeldungen und visuelle Beispiele bevorzugt werden.</w:t>
      </w:r>
    </w:p>
    <w:p>
      <w:pPr>
        <w:pStyle w:val="ListBullet"/>
      </w:pPr>
      <w:r>
        <w:t>vollständige Tastaturbedienbarkeit</w:t>
      </w:r>
    </w:p>
    <w:p>
      <w:pPr>
        <w:pStyle w:val="ListBullet"/>
      </w:pPr>
      <w:r>
        <w:t>sichtbare Fokusmarkierung</w:t>
      </w:r>
    </w:p>
    <w:p>
      <w:pPr>
        <w:pStyle w:val="ListBullet"/>
      </w:pPr>
      <w:r>
        <w:t>Alt-Texte für relevante Bilder</w:t>
      </w:r>
    </w:p>
    <w:p>
      <w:pPr>
        <w:pStyle w:val="ListBullet"/>
      </w:pPr>
      <w:r>
        <w:t>Rückmeldung nicht ausschließlich über Farbe</w:t>
      </w:r>
    </w:p>
    <w:p>
      <w:pPr>
        <w:pStyle w:val="ListBullet"/>
      </w:pPr>
      <w:r>
        <w:t>reduzierte Animation bei entsprechender Systemeinstellung</w:t>
      </w:r>
    </w:p>
    <w:p>
      <w:pPr>
        <w:pStyle w:val="ListBullet"/>
      </w:pPr>
      <w:r>
        <w:t>Vorlesefunktion nach Möglichkeit plattformweit einheitlich</w:t>
      </w:r>
    </w:p>
    <w:p>
      <w:pPr>
        <w:pStyle w:val="ListBullet"/>
      </w:pPr>
      <w:r>
        <w:t>einfache Sprache und optionale Vertiefungsinformationen statt sehr langer Pflichttexte</w:t>
      </w:r>
    </w:p>
    <w:p>
      <w:pPr>
        <w:pStyle w:val="Heading1"/>
      </w:pPr>
      <w:r>
        <w:t>9. Daten- und Fortschrittsmodell</w:t>
      </w:r>
    </w:p>
    <w:p>
      <w:r>
        <w:t>Vorgeschlagenes logisches Modell für die Implementierung: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Bereich</w:t>
            </w:r>
          </w:p>
        </w:tc>
        <w:tc>
          <w:tcPr>
            <w:tcW w:type="dxa" w:w="4986"/>
          </w:tcPr>
          <w:p>
            <w:r>
              <w:t>Benötigte Informationen</w:t>
            </w:r>
          </w:p>
        </w:tc>
      </w:tr>
      <w:tr>
        <w:tc>
          <w:tcPr>
            <w:tcW w:type="dxa" w:w="4986"/>
            <w:vAlign w:val="center"/>
          </w:tcPr>
          <w:p>
            <w:r>
              <w:t>Plattform</w:t>
            </w:r>
          </w:p>
        </w:tc>
        <w:tc>
          <w:tcPr>
            <w:tcW w:type="dxa" w:w="4986"/>
            <w:vAlign w:val="center"/>
          </w:tcPr>
          <w:p>
            <w:r>
              <w:t>Version, Gesamtfortschritt, Zertifikatsfreigabe</w:t>
            </w:r>
          </w:p>
        </w:tc>
      </w:tr>
      <w:tr>
        <w:tc>
          <w:tcPr>
            <w:tcW w:type="dxa" w:w="4986"/>
            <w:vAlign w:val="center"/>
          </w:tcPr>
          <w:p>
            <w:r>
              <w:t>Lernende Person</w:t>
            </w:r>
          </w:p>
        </w:tc>
        <w:tc>
          <w:tcPr>
            <w:tcW w:type="dxa" w:w="4986"/>
            <w:vAlign w:val="center"/>
          </w:tcPr>
          <w:p>
            <w:r>
              <w:t>optional lokaler Anzeigename für das Zertifikat</w:t>
            </w:r>
          </w:p>
        </w:tc>
      </w:tr>
      <w:tr>
        <w:tc>
          <w:tcPr>
            <w:tcW w:type="dxa" w:w="4986"/>
            <w:vAlign w:val="center"/>
          </w:tcPr>
          <w:p>
            <w:r>
              <w:t>Modul</w:t>
            </w:r>
          </w:p>
        </w:tc>
        <w:tc>
          <w:tcPr>
            <w:tcW w:type="dxa" w:w="4986"/>
            <w:vAlign w:val="center"/>
          </w:tcPr>
          <w:p>
            <w:r>
              <w:t>ID, Titel, Status, Fortschritt, bestanden</w:t>
            </w:r>
          </w:p>
        </w:tc>
      </w:tr>
      <w:tr>
        <w:tc>
          <w:tcPr>
            <w:tcW w:type="dxa" w:w="4986"/>
            <w:vAlign w:val="center"/>
          </w:tcPr>
          <w:p>
            <w:r>
              <w:t>Station/Aufgabe</w:t>
            </w:r>
          </w:p>
        </w:tc>
        <w:tc>
          <w:tcPr>
            <w:tcW w:type="dxa" w:w="4986"/>
            <w:vAlign w:val="center"/>
          </w:tcPr>
          <w:p>
            <w:r>
              <w:t>ID, Bearbeitungsstatus, Ergebnis bzw. Versuche</w:t>
            </w:r>
          </w:p>
        </w:tc>
      </w:tr>
      <w:tr>
        <w:tc>
          <w:tcPr>
            <w:tcW w:type="dxa" w:w="4986"/>
            <w:vAlign w:val="center"/>
          </w:tcPr>
          <w:p>
            <w:r>
              <w:t>Zertifikat</w:t>
            </w:r>
          </w:p>
        </w:tc>
        <w:tc>
          <w:tcPr>
            <w:tcW w:type="dxa" w:w="4986"/>
            <w:vAlign w:val="center"/>
          </w:tcPr>
          <w:p>
            <w:r>
              <w:t>freigeschaltet ja/nein, Datum, Anzeigename</w:t>
            </w:r>
          </w:p>
        </w:tc>
      </w:tr>
    </w:tbl>
    <w:p>
      <w:pPr>
        <w:pStyle w:val="Heading1"/>
      </w:pPr>
      <w:r>
        <w:t>10. Zertifikat</w:t>
      </w:r>
    </w:p>
    <w:p>
      <w:r>
        <w:t>Das vorhandene Zertifikat ist gestalterisch als Ausgangspunkt geeignet, bescheinigt bisher jedoch speziell die fünf Nachhaltigkeitsstationen. In der Plattform soll daraus ein echtes Abschlusszertifikat des gesamten KI-Führerscheins werden. Es sollte die übergreifenden Kompetenzbereiche „KI verstehen“, „KI verantwortlich zum Lernen nutzen“, „Ergebnisse kritisch prüfen“ und „Auswirkungen von KI reflektieren“ abbilden.</w:t>
      </w:r>
    </w:p>
    <w:p>
      <w:pPr>
        <w:pStyle w:val="Heading1"/>
      </w:pPr>
      <w:r>
        <w:t>11. Technische Leitplanken für die Neuentwicklung</w:t>
      </w:r>
    </w:p>
    <w:p>
      <w:pPr>
        <w:pStyle w:val="ListBullet"/>
      </w:pPr>
      <w:r>
        <w:t>Keine vollständigen HTML-Dokumente als lange JavaScript-Strings ineinander verschachteln.</w:t>
      </w:r>
    </w:p>
    <w:p>
      <w:pPr>
        <w:pStyle w:val="ListBullet"/>
      </w:pPr>
      <w:r>
        <w:t>Inhalte, Darstellung und Zustandslogik möglichst modular trennen.</w:t>
      </w:r>
    </w:p>
    <w:p>
      <w:pPr>
        <w:pStyle w:val="ListBullet"/>
      </w:pPr>
      <w:r>
        <w:t>Wiederverwendbare UI-Komponenten für Navigation, Quiz, Feedback, Merksätze und Fortschritt verwenden.</w:t>
      </w:r>
    </w:p>
    <w:p>
      <w:pPr>
        <w:pStyle w:val="ListBullet"/>
      </w:pPr>
      <w:r>
        <w:t>Externe Fakten und Quellen zentral bzw. leicht aktualisierbar verwalten.</w:t>
      </w:r>
    </w:p>
    <w:p>
      <w:pPr>
        <w:pStyle w:val="ListBullet"/>
      </w:pPr>
      <w:r>
        <w:t>Für jedes Modul eindeutige IDs und Versionen verwenden.</w:t>
      </w:r>
    </w:p>
    <w:p>
      <w:pPr>
        <w:pStyle w:val="ListBullet"/>
      </w:pPr>
      <w:r>
        <w:t>Die vorhandenen Anwendungen nicht 1:1 technisch kopieren; ihre Inhalte, Interaktionen und didaktische Logik als Referenz übernehmen.</w:t>
      </w:r>
    </w:p>
    <w:p>
      <w:pPr>
        <w:pStyle w:val="Heading1"/>
      </w:pPr>
      <w:r>
        <w:t>12. Abnahmekriterien</w:t>
      </w:r>
    </w:p>
    <w:p>
      <w:pPr>
        <w:pStyle w:val="ListBullet"/>
      </w:pPr>
      <w:r>
        <w:t>Alle drei Lernmodule sind über eine gemeinsame Startseite erreichbar.</w:t>
      </w:r>
    </w:p>
    <w:p>
      <w:pPr>
        <w:pStyle w:val="ListBullet"/>
      </w:pPr>
      <w:r>
        <w:t>Der aktuelle Stand wird nach einem Neuladen korrekt wiederhergestellt.</w:t>
      </w:r>
    </w:p>
    <w:p>
      <w:pPr>
        <w:pStyle w:val="ListBullet"/>
      </w:pPr>
      <w:r>
        <w:t>Abgeschlossene Module werden eindeutig gekennzeichnet.</w:t>
      </w:r>
    </w:p>
    <w:p>
      <w:pPr>
        <w:pStyle w:val="ListBullet"/>
      </w:pPr>
      <w:r>
        <w:t>Quiz-Feedback ist verständlich und ermöglicht eine lernorientierte Korrektur.</w:t>
      </w:r>
    </w:p>
    <w:p>
      <w:pPr>
        <w:pStyle w:val="ListBullet"/>
      </w:pPr>
      <w:r>
        <w:t>Die Plattform funktioniert in aktuellen Desktop- und Tablet-Browsern responsiv.</w:t>
      </w:r>
    </w:p>
    <w:p>
      <w:pPr>
        <w:pStyle w:val="ListBullet"/>
      </w:pPr>
      <w:r>
        <w:t>Die Kernerfahrung benötigt kein Benutzerkonto.</w:t>
      </w:r>
    </w:p>
    <w:p>
      <w:pPr>
        <w:pStyle w:val="ListBullet"/>
      </w:pPr>
      <w:r>
        <w:t>Das Zertifikat ist vor Erfüllung der Abschlussbedingungen gesperrt.</w:t>
      </w:r>
    </w:p>
    <w:p>
      <w:pPr>
        <w:pStyle w:val="ListBullet"/>
      </w:pPr>
      <w:r>
        <w:t>Das Zertifikat ist druckbar bzw. als PDF speicherbar.</w:t>
      </w:r>
    </w:p>
    <w:p>
      <w:pPr>
        <w:pStyle w:val="ListBullet"/>
      </w:pPr>
      <w:r>
        <w:t>Alle didaktischen Simulationen und Näherungswerte werden als solche gekennzeichnet.</w:t>
      </w:r>
    </w:p>
    <w:p>
      <w:pPr>
        <w:pStyle w:val="ListBullet"/>
      </w:pPr>
      <w:r>
        <w:t>Externe Medien besitzen eine sinnvolle Ausweichmöglichkeit, wenn sie nicht erreichbar sind.</w:t>
      </w:r>
    </w:p>
    <w:p>
      <w:pPr>
        <w:pStyle w:val="Heading1"/>
      </w:pPr>
      <w:r>
        <w:t>13. Vorhandene Ausgangsdateien</w:t>
      </w:r>
    </w:p>
    <w:p>
      <w:pPr>
        <w:pStyle w:val="ListBullet"/>
      </w:pPr>
      <w:r>
        <w:t>Modul 01 ki_Fortbildung_klasse7_Borrmann.html</w:t>
      </w:r>
    </w:p>
    <w:p>
      <w:pPr>
        <w:pStyle w:val="ListBullet"/>
      </w:pPr>
      <w:r>
        <w:t>Modul 01 ki_Fortbildung_klasse7_Borrmann.html_TECHNISCHE_DOKUMENTATION.md</w:t>
      </w:r>
    </w:p>
    <w:p>
      <w:pPr>
        <w:pStyle w:val="ListBullet"/>
      </w:pPr>
      <w:r>
        <w:t>Modul2.html</w:t>
      </w:r>
    </w:p>
    <w:p>
      <w:pPr>
        <w:pStyle w:val="ListBullet"/>
      </w:pPr>
      <w:r>
        <w:t>KI_Nachhaltigkeit_5_Stationen_EINE_DATEI.html</w:t>
      </w:r>
    </w:p>
    <w:p>
      <w:pPr>
        <w:pStyle w:val="ListBullet"/>
      </w:pPr>
      <w:r>
        <w:t>KI_Fuehrerschein_Zertifikat.html</w:t>
      </w:r>
    </w:p>
    <w:p>
      <w:r>
        <w:t>Hinweis: Dieses Dokument ist als inhaltlich-technisches Übergabeformat gedacht, wenn die ursprünglichen HTML-Dateien nicht direkt hochgeladen werden können. Für eine pixelgenaue Rekonstruktion einzelner Interaktionen ersetzt es den Originalquellcode nicht; es beschreibt jedoch die zentralen Funktionen und Anforderungen für die gemeinsame Plattform.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7F8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59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95C6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2026-10-24T08:35:25.1360186Z</dcterms:created>
  <dcterms:modified xsi:type="dcterms:W3CDTF">2026-10-24T08:35:25.1360186Z</dcterms:modified>
  <category/>
</coreProperties>
</file>