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DocBridge — Architecture Decision Records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docbridge-architecture-decision-records"/>
    <w:p>
      <w:pPr>
        <w:pStyle w:val="Heading1"/>
      </w:pPr>
      <w:r>
        <w:t xml:space="preserve">DocBridge — Architecture Decision Records</w:t>
      </w:r>
    </w:p>
    <w:p>
      <w:pPr>
        <w:pStyle w:val="FirstParagraph"/>
      </w:pPr>
      <w:r>
        <w:t xml:space="preserve">Each ADR captures one decision: the context, the decision required, the alternatives evaluated</w:t>
      </w:r>
      <w:r>
        <w:t xml:space="preserve"> </w:t>
      </w:r>
      <w:r>
        <w:t xml:space="preserve">(with honest advantages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 drawbacks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for each), and the decision with rationale. This</w:t>
      </w:r>
      <w:r>
        <w:t xml:space="preserve"> </w:t>
      </w:r>
      <w:r>
        <w:t xml:space="preserve">matches the team ADR template.</w:t>
      </w:r>
    </w:p>
    <w:p>
      <w:pPr>
        <w:pStyle w:val="BlockText"/>
      </w:pPr>
      <w:r>
        <w:rPr>
          <w:b/>
          <w:bCs/>
        </w:rPr>
        <w:t xml:space="preserve">Grounding note.</w:t>
      </w:r>
      <w:r>
        <w:t xml:space="preserve"> </w:t>
      </w:r>
      <w:r>
        <w:t xml:space="preserve">These ADRs document the decisions behind the system</w:t>
      </w:r>
      <w:r>
        <w:t xml:space="preserve"> </w:t>
      </w:r>
      <w:r>
        <w:rPr>
          <w:b/>
          <w:bCs/>
        </w:rPr>
        <w:t xml:space="preserve">as actually built</w:t>
      </w:r>
      <w:r>
        <w:t xml:space="preserve"> </w:t>
      </w:r>
      <w:r>
        <w:t xml:space="preserve">in this repository. Where the decision differs from the more ambitious reference design, that</w:t>
      </w:r>
      <w:r>
        <w:t xml:space="preserve"> </w:t>
      </w:r>
      <w:r>
        <w:t xml:space="preserve">is called out.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ADRs record decisions not yet settled.</w:t>
      </w:r>
    </w:p>
    <w:bookmarkStart w:id="32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ADR-0003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Authentication: Cognito JWT vs mock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(transitional)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ADR-0004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Single Express service vs 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ADR-0005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In-process worker vs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ADR-0006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SQS + DLQ for asynchronous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ADR-0007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AWS CDK vs 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ADR-0008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Single RDS PostgreSQL, migrate-on-startup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ADR-0009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S3 SSE-KMS for staged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ADR-0010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DynamoDB routing table for 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ADR-0011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Dev/Prod environments in one account + promotion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ADR-0012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Frontend config/secret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ADR-0013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WebSocket push vs polling for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ADR-0014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Per-user allow/deny access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</w:tbl>
    <w:bookmarkEnd w:id="32"/>
    <w:bookmarkStart w:id="33" w:name="template"/>
    <w:p>
      <w:pPr>
        <w:pStyle w:val="Heading2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# ADR-NNNN — &lt;short title&gt;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rPr>
          <w:rStyle w:val="VerbatimChar"/>
        </w:rPr>
        <w:t xml:space="preserve">&lt;why a decision is needed; current situation, briefly&gt;</w:t>
      </w:r>
      <w:r>
        <w:br/>
      </w:r>
      <w:r>
        <w:br/>
      </w:r>
      <w:r>
        <w:rPr>
          <w:rStyle w:val="VerbatimChar"/>
        </w:rPr>
        <w:t xml:space="preserve">## Decision required</w:t>
      </w:r>
      <w:r>
        <w:br/>
      </w:r>
      <w:r>
        <w:rPr>
          <w:rStyle w:val="VerbatimChar"/>
        </w:rPr>
        <w:t xml:space="preserve">&lt;one clear question, no leading hints&gt;</w:t>
      </w:r>
      <w:r>
        <w:br/>
      </w:r>
      <w:r>
        <w:br/>
      </w:r>
      <w:r>
        <w:rPr>
          <w:rStyle w:val="VerbatimChar"/>
        </w:rPr>
        <w:t xml:space="preserve">## Alternatives evaluated</w:t>
      </w:r>
      <w:r>
        <w:br/>
      </w:r>
      <w:r>
        <w:rPr>
          <w:rStyle w:val="VerbatimChar"/>
        </w:rPr>
        <w:t xml:space="preserve">### 1. &lt;option&gt;</w:t>
      </w:r>
      <w:r>
        <w:br/>
      </w:r>
      <w:r>
        <w:rPr>
          <w:rStyle w:val="VerbatimChar"/>
        </w:rPr>
        <w:t xml:space="preserve">+ &lt;advantage&gt;</w:t>
      </w:r>
      <w:r>
        <w:br/>
      </w:r>
      <w:r>
        <w:rPr>
          <w:rStyle w:val="VerbatimChar"/>
        </w:rPr>
        <w:t xml:space="preserve">− &lt;drawback&gt;</w:t>
      </w:r>
      <w:r>
        <w:br/>
      </w:r>
      <w:r>
        <w:rPr>
          <w:rStyle w:val="VerbatimChar"/>
        </w:rPr>
        <w:t xml:space="preserve">### 2. &lt;option&gt;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## Decision</w:t>
      </w:r>
      <w:r>
        <w:br/>
      </w:r>
      <w:r>
        <w:rPr>
          <w:rStyle w:val="VerbatimChar"/>
        </w:rPr>
        <w:t xml:space="preserve">* &lt;chosen option&gt; and rationale.</w:t>
      </w:r>
      <w:r>
        <w:br/>
      </w:r>
      <w:r>
        <w:rPr>
          <w:rStyle w:val="VerbatimChar"/>
        </w:rPr>
        <w:t xml:space="preserve">* &lt;consequences accepted&gt;</w:t>
      </w:r>
      <w:r>
        <w:br/>
      </w:r>
      <w:r>
        <w:rPr>
          <w:rStyle w:val="VerbatimChar"/>
        </w:rPr>
        <w:t xml:space="preserve">* Ratified by: &lt;name&gt; (&lt;date&gt;)</w:t>
      </w:r>
    </w:p>
    <w:bookmarkEnd w:id="33"/>
    <w:bookmarkEnd w:id="34"/>
    <w:bookmarkStart w:id="42" w:name="X8bbafe74ba339dea97e2b5062cc1f3f0ce58d60"/>
    <w:p>
      <w:pPr>
        <w:pStyle w:val="Heading1"/>
      </w:pPr>
      <w:r>
        <w:t xml:space="preserve">ADR-0003 — Authentication: Cognito JWT vs mock header</w:t>
      </w:r>
    </w:p>
    <w:bookmarkStart w:id="35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DocBridge exposes an HTTP API consumed by a browser SPA. Every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endpoint must reject</w:t>
      </w:r>
      <w:r>
        <w:t xml:space="preserve"> </w:t>
      </w:r>
      <w:r>
        <w:t xml:space="preserve">unauthenticated requests. A Cognito user pool already exists and is 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us-east-1_jCnHbWlwq</w:t>
      </w:r>
      <w:r>
        <w:t xml:space="preserve">, stack</w:t>
      </w:r>
      <w:r>
        <w:t xml:space="preserve"> </w:t>
      </w:r>
      <w:r>
        <w:rPr>
          <w:rStyle w:val="VerbatimChar"/>
        </w:rPr>
        <w:t xml:space="preserve">DocBridge-Auth</w:t>
      </w:r>
      <w:r>
        <w:t xml:space="preserve">), and the frontend already integrates</w:t>
      </w:r>
      <w:r>
        <w:t xml:space="preserve"> </w:t>
      </w:r>
      <w:r>
        <w:rPr>
          <w:rStyle w:val="VerbatimChar"/>
        </w:rPr>
        <w:t xml:space="preserve">amazon-cognito-identity-js</w:t>
      </w:r>
      <w:r>
        <w:t xml:space="preserve"> </w:t>
      </w:r>
      <w:r>
        <w:t xml:space="preserve">and sends</w:t>
      </w:r>
      <w:r>
        <w:t xml:space="preserve"> </w:t>
      </w:r>
      <w:r>
        <w:rPr>
          <w:rStyle w:val="VerbatimChar"/>
        </w:rPr>
        <w:t xml:space="preserve">Authorization: Bearer &lt;idToken&gt;</w:t>
      </w:r>
      <w:r>
        <w:t xml:space="preserve">. However, the API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src/middleware/auth.ts</w:t>
      </w:r>
      <w:r>
        <w:t xml:space="preserve">) currently trusts only an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header and does not</w:t>
      </w:r>
      <w:r>
        <w:t xml:space="preserve"> </w:t>
      </w:r>
      <w:r>
        <w:t xml:space="preserve">verify the JWT. This is fine for local iteration but is not an authentication control.</w:t>
      </w:r>
    </w:p>
    <w:bookmarkEnd w:id="35"/>
    <w:bookmarkStart w:id="36" w:name="decision-required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How does the API authenticate requests: verify Cognito-issued JWTs, or keep the mock header?</w:t>
      </w:r>
    </w:p>
    <w:bookmarkEnd w:id="36"/>
    <w:bookmarkStart w:id="40" w:name="alternatives-evaluated"/>
    <w:p>
      <w:pPr>
        <w:pStyle w:val="Heading2"/>
      </w:pPr>
      <w:r>
        <w:t xml:space="preserve">Alternatives evaluated</w:t>
      </w:r>
    </w:p>
    <w:bookmarkStart w:id="37" w:name="Xfdeaf3b00aa1adb9ca6b3cd212060861da17966"/>
    <w:p>
      <w:pPr>
        <w:pStyle w:val="Heading3"/>
      </w:pPr>
      <w:r>
        <w:t xml:space="preserve">1. Verify Cognito JWT; keep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as a dev-only fallback</w:t>
      </w:r>
    </w:p>
    <w:p>
      <w:pPr>
        <w:pStyle w:val="Compact"/>
        <w:numPr>
          <w:ilvl w:val="0"/>
          <w:numId w:val="1001"/>
        </w:numPr>
      </w:pPr>
      <w:r>
        <w:t xml:space="preserve">Real authentication: signature, issuer, audience, and expiry checked against the pool JWKS.</w:t>
      </w:r>
    </w:p>
    <w:p>
      <w:pPr>
        <w:pStyle w:val="Compact"/>
        <w:numPr>
          <w:ilvl w:val="0"/>
          <w:numId w:val="1001"/>
        </w:numPr>
      </w:pPr>
      <w:r>
        <w:t xml:space="preserve">Uses identity infrastructure that already exists and is already partly wired on the frontend.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x-user-id</w:t>
      </w:r>
      <w:r>
        <w:t xml:space="preserve"> </w:t>
      </w:r>
      <w:r>
        <w:t xml:space="preserve">remains available for local/dev and existing tests, guarded by an env flag.</w:t>
      </w:r>
      <w:r>
        <w:t xml:space="preserve"> </w:t>
      </w:r>
      <w:r>
        <w:t xml:space="preserve">− JWKS fetch/caching and claim validation to implement and test.</w:t>
      </w:r>
      <w:r>
        <w:t xml:space="preserve"> </w:t>
      </w:r>
      <w:r>
        <w:t xml:space="preserve">− Two code paths (JWT + fallback) until the fallback is removed.</w:t>
      </w:r>
    </w:p>
    <w:bookmarkEnd w:id="37"/>
    <w:bookmarkStart w:id="38" w:name="keep-mock-x-user-id-only"/>
    <w:p>
      <w:pPr>
        <w:pStyle w:val="Heading3"/>
      </w:pPr>
      <w:r>
        <w:t xml:space="preserve">2. Keep mock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2"/>
        </w:numPr>
      </w:pPr>
      <w:r>
        <w:t xml:space="preserve">Zero work; tests already assume it.</w:t>
      </w:r>
      <w:r>
        <w:t xml:space="preserve"> </w:t>
      </w:r>
      <w:r>
        <w:t xml:space="preserve">− Not authentication: any caller can claim any user id. Unacceptable for anything shared.</w:t>
      </w:r>
    </w:p>
    <w:bookmarkEnd w:id="38"/>
    <w:bookmarkStart w:id="39" w:name="X912b2f45fd5c97365d2fdd22957d0d64ec8a258"/>
    <w:p>
      <w:pPr>
        <w:pStyle w:val="Heading3"/>
      </w:pPr>
      <w:r>
        <w:t xml:space="preserve">3. Put a Cognito JWT authorizer at the edge (API Gateway) instead of in the app</w:t>
      </w:r>
    </w:p>
    <w:p>
      <w:pPr>
        <w:pStyle w:val="Compact"/>
        <w:numPr>
          <w:ilvl w:val="0"/>
          <w:numId w:val="1003"/>
        </w:numPr>
      </w:pPr>
      <w:r>
        <w:t xml:space="preserve">Rejects invalid traffic before it reaches the service.</w:t>
      </w:r>
      <w:r>
        <w:t xml:space="preserve"> </w:t>
      </w:r>
      <w:r>
        <w:t xml:space="preserve">− The current edge is CloudFront + ALB, not API Gateway; adding a gateway is a larger change</w:t>
      </w:r>
      <w:r>
        <w:t xml:space="preserve"> </w:t>
      </w:r>
      <w:r>
        <w:t xml:space="preserve">than the app-level check and is out of scope for this release.</w:t>
      </w:r>
    </w:p>
    <w:bookmarkEnd w:id="39"/>
    <w:bookmarkEnd w:id="40"/>
    <w:bookmarkStart w:id="41" w:name="decision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1.</w:t>
      </w:r>
      <w:r>
        <w:t xml:space="preserve"> </w:t>
      </w:r>
      <w:r>
        <w:t xml:space="preserve">The API verifies the Cognito JWT (signature via JWKS, issuer, client/audience,</w:t>
      </w:r>
      <w:r>
        <w:t xml:space="preserve"> </w:t>
      </w:r>
      <w:r>
        <w:t xml:space="preserve">expiry) and derives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from claims.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is retained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as a dev fallback</w:t>
      </w:r>
      <w:r>
        <w:t xml:space="preserve"> </w:t>
      </w:r>
      <w:r>
        <w:t xml:space="preserve">behind an environment flag, so existing tests and local runs keep working.</w:t>
      </w:r>
    </w:p>
    <w:p>
      <w:pPr>
        <w:pStyle w:val="Compact"/>
        <w:numPr>
          <w:ilvl w:val="0"/>
          <w:numId w:val="1004"/>
        </w:numPr>
      </w:pPr>
      <w:r>
        <w:t xml:space="preserve">Transitional status: the fallback is removed once the frontend login is fully cut over.</w:t>
      </w:r>
    </w:p>
    <w:p>
      <w:pPr>
        <w:pStyle w:val="Compact"/>
        <w:numPr>
          <w:ilvl w:val="0"/>
          <w:numId w:val="1004"/>
        </w:numPr>
      </w:pPr>
      <w:r>
        <w:t xml:space="preserve">Consequence accepted: a JWKS cache and clock-skew handling live in the middleware.</w:t>
      </w:r>
    </w:p>
    <w:p>
      <w:pPr>
        <w:pStyle w:val="Compact"/>
        <w:numPr>
          <w:ilvl w:val="0"/>
          <w:numId w:val="1004"/>
        </w:numPr>
      </w:pPr>
      <w:r>
        <w:t xml:space="preserve">Ratified by: Amo Paymon (2026-09-27)</w:t>
      </w:r>
    </w:p>
    <w:bookmarkEnd w:id="41"/>
    <w:bookmarkEnd w:id="42"/>
    <w:bookmarkStart w:id="49" w:name="X09e4f89f35e7fc655f4275839946bfd5a0657ac"/>
    <w:p>
      <w:pPr>
        <w:pStyle w:val="Heading1"/>
      </w:pPr>
      <w:r>
        <w:t xml:space="preserve">ADR-0004 — Single Express service vs microservices</w:t>
      </w:r>
    </w:p>
    <w:bookmarkStart w:id="43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reference design imagined three services (auth, platform, DocBridge API). The system as</w:t>
      </w:r>
      <w:r>
        <w:t xml:space="preserve"> </w:t>
      </w:r>
      <w:r>
        <w:t xml:space="preserve">built is a single Express application (</w:t>
      </w:r>
      <w:r>
        <w:rPr>
          <w:rStyle w:val="VerbatimChar"/>
        </w:rPr>
        <w:t xml:space="preserve">implementation/api</w:t>
      </w:r>
      <w:r>
        <w:t xml:space="preserve">) that handles authentication check,</w:t>
      </w:r>
      <w:r>
        <w:t xml:space="preserve"> </w:t>
      </w:r>
      <w:r>
        <w:t xml:space="preserve">destination browsing, upload coordination, and job/task management, plus an in-process worker</w:t>
      </w:r>
      <w:r>
        <w:t xml:space="preserve"> </w:t>
      </w:r>
      <w:r>
        <w:t xml:space="preserve">(ADR-0005). Scale is modest and the destination platform is mocked.</w:t>
      </w:r>
    </w:p>
    <w:bookmarkEnd w:id="43"/>
    <w:bookmarkStart w:id="44" w:name="decision-required-1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Is the API tier one deployable or multiple services?</w:t>
      </w:r>
    </w:p>
    <w:bookmarkEnd w:id="44"/>
    <w:bookmarkStart w:id="47" w:name="alternatives-evaluated-1"/>
    <w:p>
      <w:pPr>
        <w:pStyle w:val="Heading2"/>
      </w:pPr>
      <w:r>
        <w:t xml:space="preserve">Alternatives evaluated</w:t>
      </w:r>
    </w:p>
    <w:bookmarkStart w:id="45" w:name="X4fe63cf935f27e523c36c7ecc305af96906bcce"/>
    <w:p>
      <w:pPr>
        <w:pStyle w:val="Heading3"/>
      </w:pPr>
      <w:r>
        <w:t xml:space="preserve">1. Single Express service (modular internally)</w:t>
      </w:r>
    </w:p>
    <w:p>
      <w:pPr>
        <w:pStyle w:val="Compact"/>
        <w:numPr>
          <w:ilvl w:val="0"/>
          <w:numId w:val="1005"/>
        </w:numPr>
      </w:pPr>
      <w:r>
        <w:t xml:space="preserve">Simplest operations: one image, one pipeline, one thing to monitor and scale.</w:t>
      </w:r>
    </w:p>
    <w:p>
      <w:pPr>
        <w:pStyle w:val="Compact"/>
        <w:numPr>
          <w:ilvl w:val="0"/>
          <w:numId w:val="1005"/>
        </w:numPr>
      </w:pPr>
      <w:r>
        <w:t xml:space="preserve">Authorization and job logic are in-process calls — no network hop on the hot path.</w:t>
      </w:r>
    </w:p>
    <w:p>
      <w:pPr>
        <w:pStyle w:val="Compact"/>
        <w:numPr>
          <w:ilvl w:val="0"/>
          <w:numId w:val="1005"/>
        </w:numPr>
      </w:pPr>
      <w:r>
        <w:t xml:space="preserve">Matches the current scale and the mocked destination platform.</w:t>
      </w:r>
      <w:r>
        <w:t xml:space="preserve"> </w:t>
      </w:r>
      <w:r>
        <w:t xml:space="preserve">− Module boundaries are convention, not enforced by process isolation.</w:t>
      </w:r>
      <w:r>
        <w:t xml:space="preserve"> </w:t>
      </w:r>
      <w:r>
        <w:t xml:space="preserve">− A bad deploy affects all capabilities at once.</w:t>
      </w:r>
    </w:p>
    <w:bookmarkEnd w:id="45"/>
    <w:bookmarkStart w:id="46" w:name="three-services-auth-platform-docbridge"/>
    <w:p>
      <w:pPr>
        <w:pStyle w:val="Heading3"/>
      </w:pPr>
      <w:r>
        <w:t xml:space="preserve">2. Three services (auth, platform, DocBridge)</w:t>
      </w:r>
    </w:p>
    <w:p>
      <w:pPr>
        <w:pStyle w:val="Compact"/>
        <w:numPr>
          <w:ilvl w:val="0"/>
          <w:numId w:val="1006"/>
        </w:numPr>
      </w:pPr>
      <w:r>
        <w:t xml:space="preserve">Enforced ownership and independent deploy/failure domains.</w:t>
      </w:r>
    </w:p>
    <w:p>
      <w:pPr>
        <w:pStyle w:val="Compact"/>
        <w:numPr>
          <w:ilvl w:val="0"/>
          <w:numId w:val="1006"/>
        </w:numPr>
      </w:pPr>
      <w:r>
        <w:t xml:space="preserve">The platform API becomes a genuine contract.</w:t>
      </w:r>
      <w:r>
        <w:t xml:space="preserve"> </w:t>
      </w:r>
      <w:r>
        <w:t xml:space="preserve">− Three pipelines, three target groups, cross-service calls on the latency path.</w:t>
      </w:r>
      <w:r>
        <w:t xml:space="preserve"> </w:t>
      </w:r>
      <w:r>
        <w:t xml:space="preserve">− Unjustified operational cost at current scale with a mocked platform.</w:t>
      </w:r>
    </w:p>
    <w:bookmarkEnd w:id="46"/>
    <w:bookmarkEnd w:id="47"/>
    <w:bookmarkStart w:id="48" w:name="decision-1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1: a single Express service</w:t>
      </w:r>
      <w:r>
        <w:t xml:space="preserve"> </w:t>
      </w:r>
      <w:r>
        <w:t xml:space="preserve">(with an in-process worker, ADR-0005).</w:t>
      </w:r>
    </w:p>
    <w:p>
      <w:pPr>
        <w:pStyle w:val="Compact"/>
        <w:numPr>
          <w:ilvl w:val="0"/>
          <w:numId w:val="1007"/>
        </w:numPr>
      </w:pPr>
      <w:r>
        <w:t xml:space="preserve">Rationale: at current scale and with a mock destination platform, the operational simplicity</w:t>
      </w:r>
      <w:r>
        <w:t xml:space="preserve"> </w:t>
      </w:r>
      <w:r>
        <w:t xml:space="preserve">outweighs the isolation benefits. Internal modularity (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worker/</w:t>
      </w:r>
      <w:r>
        <w:t xml:space="preserve">)</w:t>
      </w:r>
      <w:r>
        <w:t xml:space="preserve"> </w:t>
      </w:r>
      <w:r>
        <w:t xml:space="preserve">keeps a future split cheap.</w:t>
      </w:r>
    </w:p>
    <w:p>
      <w:pPr>
        <w:pStyle w:val="Compact"/>
        <w:numPr>
          <w:ilvl w:val="0"/>
          <w:numId w:val="1007"/>
        </w:numPr>
      </w:pPr>
      <w:r>
        <w:t xml:space="preserve">Reconsideration trigger: real multi-region destinations or independent scaling needs — at</w:t>
      </w:r>
      <w:r>
        <w:t xml:space="preserve"> </w:t>
      </w:r>
      <w:r>
        <w:t xml:space="preserve">which point auth is the cheapest, highest-value service to peel off first.</w:t>
      </w:r>
    </w:p>
    <w:p>
      <w:pPr>
        <w:pStyle w:val="Compact"/>
        <w:numPr>
          <w:ilvl w:val="0"/>
          <w:numId w:val="1007"/>
        </w:numPr>
      </w:pPr>
      <w:r>
        <w:t xml:space="preserve">Ratified by: Amo Paymon (2026-09-27)</w:t>
      </w:r>
    </w:p>
    <w:bookmarkEnd w:id="48"/>
    <w:bookmarkEnd w:id="49"/>
    <w:bookmarkStart w:id="56" w:name="adr-0005-in-process-worker-vs-lambda"/>
    <w:p>
      <w:pPr>
        <w:pStyle w:val="Heading1"/>
      </w:pPr>
      <w:r>
        <w:t xml:space="preserve">ADR-0005 — In-process worker vs Lambda</w:t>
      </w:r>
    </w:p>
    <w:bookmarkStart w:id="50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Task delivery is asynchronous: consume a task message, fetch the staged file from S3, verify</w:t>
      </w:r>
      <w:r>
        <w:t xml:space="preserve"> </w:t>
      </w:r>
      <w:r>
        <w:t xml:space="preserve">checksum, POST to the destination, update status, retry on failure. The reference design used</w:t>
      </w:r>
      <w:r>
        <w:t xml:space="preserve"> </w:t>
      </w:r>
      <w:r>
        <w:t xml:space="preserve">Lambda functions. The system as built runs the worker as an</w:t>
      </w:r>
      <w:r>
        <w:t xml:space="preserve"> </w:t>
      </w:r>
      <w:r>
        <w:rPr>
          <w:b/>
          <w:bCs/>
        </w:rPr>
        <w:t xml:space="preserve">in-process SQS long-poll consumer</w:t>
      </w:r>
      <w:r>
        <w:t xml:space="preserve"> </w:t>
      </w:r>
      <w:r>
        <w:t xml:space="preserve">packaged in the same image as the API and deployed as a</w:t>
      </w:r>
      <w:r>
        <w:t xml:space="preserve"> </w:t>
      </w:r>
      <w:r>
        <w:rPr>
          <w:b/>
          <w:bCs/>
        </w:rPr>
        <w:t xml:space="preserve">separate ECS Fargate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WorkerService</w:t>
      </w:r>
      <w:r>
        <w:t xml:space="preserve">).</w:t>
      </w:r>
    </w:p>
    <w:bookmarkEnd w:id="50"/>
    <w:bookmarkStart w:id="51" w:name="decision-required-2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What compute runs the queue consumer: Lambda, or an ECS service?</w:t>
      </w:r>
    </w:p>
    <w:bookmarkEnd w:id="51"/>
    <w:bookmarkStart w:id="54" w:name="alternatives-evaluated-2"/>
    <w:p>
      <w:pPr>
        <w:pStyle w:val="Heading2"/>
      </w:pPr>
      <w:r>
        <w:t xml:space="preserve">Alternatives evaluated</w:t>
      </w:r>
    </w:p>
    <w:bookmarkStart w:id="52" w:name="Xf08340ece85da0bee82a9861ca8f7d73adc1a50"/>
    <w:p>
      <w:pPr>
        <w:pStyle w:val="Heading3"/>
      </w:pPr>
      <w:r>
        <w:t xml:space="preserve">1. In-process worker in an ECS Fargate service (same image, separate entrypoint)</w:t>
      </w:r>
    </w:p>
    <w:p>
      <w:pPr>
        <w:pStyle w:val="Compact"/>
        <w:numPr>
          <w:ilvl w:val="0"/>
          <w:numId w:val="1008"/>
        </w:numPr>
      </w:pPr>
      <w:r>
        <w:t xml:space="preserve">No execution-time cap; persistent DB connection pool; no RDS Proxy required.</w:t>
      </w:r>
    </w:p>
    <w:p>
      <w:pPr>
        <w:pStyle w:val="Compact"/>
        <w:numPr>
          <w:ilvl w:val="0"/>
          <w:numId w:val="1008"/>
        </w:numPr>
      </w:pPr>
      <w:r>
        <w:t xml:space="preserve">Same container/build/deploy model as the API — one image, one pipeline.</w:t>
      </w:r>
    </w:p>
    <w:p>
      <w:pPr>
        <w:pStyle w:val="Compact"/>
        <w:numPr>
          <w:ilvl w:val="0"/>
          <w:numId w:val="1008"/>
        </w:numPr>
      </w:pPr>
      <w:r>
        <w:t xml:space="preserve">Straightforward local dev (</w:t>
      </w:r>
      <w:r>
        <w:rPr>
          <w:rStyle w:val="VerbatimChar"/>
        </w:rPr>
        <w:t xml:space="preserve">npm run dev:worker</w:t>
      </w:r>
      <w:r>
        <w:t xml:space="preserve">).</w:t>
      </w:r>
      <w:r>
        <w:t xml:space="preserve"> </w:t>
      </w:r>
      <w:r>
        <w:t xml:space="preserve">− Always-on cost even when idle.</w:t>
      </w:r>
      <w:r>
        <w:t xml:space="preserve"> </w:t>
      </w:r>
      <w:r>
        <w:t xml:space="preserve">− Queue-depth autoscaling must be configured rather than free per-message scaling.</w:t>
      </w:r>
    </w:p>
    <w:bookmarkEnd w:id="52"/>
    <w:bookmarkStart w:id="53" w:name="lambda-with-sqs-event-source-mapping"/>
    <w:p>
      <w:pPr>
        <w:pStyle w:val="Heading3"/>
      </w:pPr>
      <w:r>
        <w:t xml:space="preserve">2. Lambda with SQS event source mapping</w:t>
      </w:r>
    </w:p>
    <w:p>
      <w:pPr>
        <w:pStyle w:val="Compact"/>
        <w:numPr>
          <w:ilvl w:val="0"/>
          <w:numId w:val="1009"/>
        </w:numPr>
      </w:pPr>
      <w:r>
        <w:t xml:space="preserve">Scales to zero; per-message concurrency without autoscaling config.</w:t>
      </w:r>
      <w:r>
        <w:t xml:space="preserve"> </w:t>
      </w:r>
      <w:r>
        <w:t xml:space="preserve">− Separate build/packaging path; cold starts; concurrency can exhaust DB connections (needs</w:t>
      </w:r>
      <w:r>
        <w:t xml:space="preserve"> </w:t>
      </w:r>
      <w:r>
        <w:t xml:space="preserve">RDS Proxy); 15-minute cap constrains large-file handling.</w:t>
      </w:r>
      <w:r>
        <w:t xml:space="preserve"> </w:t>
      </w:r>
      <w:r>
        <w:t xml:space="preserve">− A second deployment model alongside the ECS API.</w:t>
      </w:r>
    </w:p>
    <w:bookmarkEnd w:id="53"/>
    <w:bookmarkEnd w:id="54"/>
    <w:bookmarkStart w:id="55" w:name="decision-2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Option 1: in-process worker as an ECS Fargate service.</w:t>
      </w:r>
    </w:p>
    <w:p>
      <w:pPr>
        <w:pStyle w:val="Compact"/>
        <w:numPr>
          <w:ilvl w:val="0"/>
          <w:numId w:val="1010"/>
        </w:numPr>
      </w:pPr>
      <w:r>
        <w:t xml:space="preserve">Rationale: reuses the API’s image, build, and pipeline; avoids RDS Proxy and cold-start</w:t>
      </w:r>
      <w:r>
        <w:t xml:space="preserve"> </w:t>
      </w:r>
      <w:r>
        <w:t xml:space="preserve">complexity; and the memory-buffer delivery strategy (100 MB cap, ADR-0006/M-2) fits a</w:t>
      </w:r>
      <w:r>
        <w:t xml:space="preserve"> </w:t>
      </w:r>
      <w:r>
        <w:t xml:space="preserve">long-running container better than a time-capped function.</w:t>
      </w:r>
    </w:p>
    <w:p>
      <w:pPr>
        <w:pStyle w:val="Compact"/>
        <w:numPr>
          <w:ilvl w:val="0"/>
          <w:numId w:val="1010"/>
        </w:numPr>
      </w:pPr>
      <w:r>
        <w:t xml:space="preserve">Consequence accepted: idle cost and manual queue-depth autoscaling.</w:t>
      </w:r>
    </w:p>
    <w:p>
      <w:pPr>
        <w:pStyle w:val="Compact"/>
        <w:numPr>
          <w:ilvl w:val="0"/>
          <w:numId w:val="1010"/>
        </w:numPr>
      </w:pPr>
      <w:r>
        <w:t xml:space="preserve">Ratified by: Amo Paymon (2026-09-27)</w:t>
      </w:r>
    </w:p>
    <w:bookmarkEnd w:id="55"/>
    <w:bookmarkEnd w:id="56"/>
    <w:bookmarkStart w:id="64" w:name="Xe017d8ca5b35b8fa7ecfc8b9b422010dca24777"/>
    <w:p>
      <w:pPr>
        <w:pStyle w:val="Heading1"/>
      </w:pPr>
      <w:r>
        <w:t xml:space="preserve">ADR-0006 — SQS + DLQ for asynchronous delivery</w:t>
      </w:r>
    </w:p>
    <w:bookmarkStart w:id="57" w:name="context-3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Job submission fans out into one task per file-to-destination pair. Submission must acknowledge</w:t>
      </w:r>
      <w:r>
        <w:t xml:space="preserve"> </w:t>
      </w:r>
      <w:r>
        <w:t xml:space="preserve">quickly (M-1: p99 &lt; 500 ms) and delivery must be decoupled, retried at least 3 times (M-5), and</w:t>
      </w:r>
      <w:r>
        <w:t xml:space="preserve"> </w:t>
      </w:r>
      <w:r>
        <w:t xml:space="preserve">never silently lost (M-6). The system uses two SQS queues (task queue and job queue), each with</w:t>
      </w:r>
      <w:r>
        <w:t xml:space="preserve"> </w:t>
      </w:r>
      <w:r>
        <w:t xml:space="preserve">a dead-letter queue.</w:t>
      </w:r>
    </w:p>
    <w:bookmarkEnd w:id="57"/>
    <w:bookmarkStart w:id="58" w:name="decision-required-3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What buffers work between submission and the worker?</w:t>
      </w:r>
    </w:p>
    <w:bookmarkEnd w:id="58"/>
    <w:bookmarkStart w:id="62" w:name="alternatives-evaluated-3"/>
    <w:p>
      <w:pPr>
        <w:pStyle w:val="Heading2"/>
      </w:pPr>
      <w:r>
        <w:t xml:space="preserve">Alternatives evaluated</w:t>
      </w:r>
    </w:p>
    <w:bookmarkStart w:id="59" w:name="sqs-standard-queue-dlq"/>
    <w:p>
      <w:pPr>
        <w:pStyle w:val="Heading3"/>
      </w:pPr>
      <w:r>
        <w:t xml:space="preserve">1. SQS standard queue + DLQ</w:t>
      </w:r>
    </w:p>
    <w:p>
      <w:pPr>
        <w:pStyle w:val="Compact"/>
        <w:numPr>
          <w:ilvl w:val="0"/>
          <w:numId w:val="1011"/>
        </w:numPr>
      </w:pPr>
      <w:r>
        <w:t xml:space="preserve">Fully managed; absorbs fan-out spikes with no tuning.</w:t>
      </w:r>
    </w:p>
    <w:p>
      <w:pPr>
        <w:pStyle w:val="Compact"/>
        <w:numPr>
          <w:ilvl w:val="0"/>
          <w:numId w:val="1011"/>
        </w:numPr>
      </w:pPr>
      <w:r>
        <w:t xml:space="preserve">Visibility timeout +</w:t>
      </w:r>
      <w:r>
        <w:t xml:space="preserve"> </w:t>
      </w:r>
      <w:r>
        <w:rPr>
          <w:rStyle w:val="VerbatimChar"/>
        </w:rPr>
        <w:t xml:space="preserve">maxReceiveCount</w:t>
      </w:r>
      <w:r>
        <w:t xml:space="preserve"> </w:t>
      </w:r>
      <w:r>
        <w:t xml:space="preserve">implements</w:t>
      </w:r>
      <w:r>
        <w:t xml:space="preserve"> </w:t>
      </w:r>
      <w:r>
        <w:t xml:space="preserve">“</w:t>
      </w:r>
      <w:r>
        <w:t xml:space="preserve">≥3 attempts</w:t>
      </w:r>
      <w:r>
        <w:t xml:space="preserve">”</w:t>
      </w:r>
      <w:r>
        <w:t xml:space="preserve">; DLQ implements</w:t>
      </w:r>
      <w:r>
        <w:t xml:space="preserve"> </w:t>
      </w:r>
      <w:r>
        <w:t xml:space="preserve">“</w:t>
      </w:r>
      <w:r>
        <w:t xml:space="preserve">no silent</w:t>
      </w:r>
      <w:r>
        <w:t xml:space="preserve"> </w:t>
      </w:r>
      <w:r>
        <w:t xml:space="preserve">loss</w:t>
      </w:r>
      <w:r>
        <w:t xml:space="preserve">”</w:t>
      </w:r>
      <w:r>
        <w:t xml:space="preserve"> </w:t>
      </w:r>
      <w:r>
        <w:t xml:space="preserve">as infrastructure, not code (M-5, M-6).</w:t>
      </w:r>
    </w:p>
    <w:p>
      <w:pPr>
        <w:pStyle w:val="Compact"/>
        <w:numPr>
          <w:ilvl w:val="0"/>
          <w:numId w:val="1011"/>
        </w:numPr>
      </w:pPr>
      <w:r>
        <w:t xml:space="preserve">Per-message consumption is exactly per-task independence (M-8).</w:t>
      </w:r>
      <w:r>
        <w:t xml:space="preserve"> </w:t>
      </w:r>
      <w:r>
        <w:t xml:space="preserve">− At-least-once delivery: the worker must be idempotent per task.</w:t>
      </w:r>
    </w:p>
    <w:bookmarkEnd w:id="59"/>
    <w:bookmarkStart w:id="60" w:name="X0767f2e0d39110aba9d6d071961b9ea9fce3d72"/>
    <w:p>
      <w:pPr>
        <w:pStyle w:val="Heading3"/>
      </w:pPr>
      <w:r>
        <w:t xml:space="preserve">2. PostgreSQL as a queue (</w:t>
      </w:r>
      <w:r>
        <w:rPr>
          <w:rStyle w:val="VerbatimChar"/>
        </w:rPr>
        <w:t xml:space="preserve">SELECT … FOR UPDATE SKIP LOCKED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No new infrastructure; enqueue is transactional with job creation.</w:t>
      </w:r>
      <w:r>
        <w:t xml:space="preserve"> </w:t>
      </w:r>
      <w:r>
        <w:t xml:space="preserve">− Couples delivery throughput to the primary DB; retry/visibility/DLQ become app code.</w:t>
      </w:r>
    </w:p>
    <w:bookmarkEnd w:id="60"/>
    <w:bookmarkStart w:id="61" w:name="kafka-rabbitmq"/>
    <w:p>
      <w:pPr>
        <w:pStyle w:val="Heading3"/>
      </w:pPr>
      <w:r>
        <w:t xml:space="preserve">3. Kafka / RabbitMQ</w:t>
      </w:r>
    </w:p>
    <w:p>
      <w:pPr>
        <w:pStyle w:val="Compact"/>
        <w:numPr>
          <w:ilvl w:val="0"/>
          <w:numId w:val="1013"/>
        </w:numPr>
      </w:pPr>
      <w:r>
        <w:t xml:space="preserve">Rich routing / high throughput headroom.</w:t>
      </w:r>
      <w:r>
        <w:t xml:space="preserve"> </w:t>
      </w:r>
      <w:r>
        <w:t xml:space="preserve">− Operational weight unjustified at this scale; retry/DLQ semantics must be hand-built.</w:t>
      </w:r>
    </w:p>
    <w:bookmarkEnd w:id="61"/>
    <w:bookmarkEnd w:id="62"/>
    <w:bookmarkStart w:id="63" w:name="decision-3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Option 1: SQS standard queues with dead-letter queues.</w:t>
      </w:r>
    </w:p>
    <w:p>
      <w:pPr>
        <w:pStyle w:val="Compact"/>
        <w:numPr>
          <w:ilvl w:val="0"/>
          <w:numId w:val="1014"/>
        </w:numPr>
      </w:pPr>
      <w:r>
        <w:t xml:space="preserve">Rationale: its semantics map one-to-one onto the requirements (retries, isolation, no silent</w:t>
      </w:r>
      <w:r>
        <w:t xml:space="preserve"> </w:t>
      </w:r>
      <w:r>
        <w:t xml:space="preserve">loss). The one obligation — idempotent delivery — must be handled for any at-least-once queue</w:t>
      </w:r>
      <w:r>
        <w:t xml:space="preserve"> </w:t>
      </w:r>
      <w:r>
        <w:t xml:space="preserve">and is a listed risk regardless.</w:t>
      </w:r>
    </w:p>
    <w:p>
      <w:pPr>
        <w:pStyle w:val="Compact"/>
        <w:numPr>
          <w:ilvl w:val="0"/>
          <w:numId w:val="1014"/>
        </w:numPr>
      </w:pPr>
      <w:r>
        <w:t xml:space="preserve">Consequence accepted: the worker treats delivery as idempotent per task.</w:t>
      </w:r>
    </w:p>
    <w:p>
      <w:pPr>
        <w:pStyle w:val="Compact"/>
        <w:numPr>
          <w:ilvl w:val="0"/>
          <w:numId w:val="1014"/>
        </w:numPr>
      </w:pPr>
      <w:r>
        <w:t xml:space="preserve">Ratified by: Amo Paymon (2026-09-27)</w:t>
      </w:r>
    </w:p>
    <w:bookmarkEnd w:id="63"/>
    <w:bookmarkEnd w:id="64"/>
    <w:bookmarkStart w:id="72" w:name="adr-0007-aws-cdk-vs-terraform"/>
    <w:p>
      <w:pPr>
        <w:pStyle w:val="Heading1"/>
      </w:pPr>
      <w:r>
        <w:t xml:space="preserve">ADR-0007 — AWS CDK vs Terraform</w:t>
      </w:r>
    </w:p>
    <w:bookmarkStart w:id="65" w:name="context-4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All AWS resources (VPC, RDS, ECS, SQS, S3, KMS, DynamoDB, Cognito, CloudFront/ALB, Lambda) are</w:t>
      </w:r>
      <w:r>
        <w:t xml:space="preserve"> </w:t>
      </w:r>
      <w:r>
        <w:t xml:space="preserve">managed as code. The codebase is TypeScript throughout. The reference design chose Terraform;</w:t>
      </w:r>
      <w:r>
        <w:t xml:space="preserve"> </w:t>
      </w:r>
      <w:r>
        <w:t xml:space="preserve">this project uses</w:t>
      </w:r>
      <w:r>
        <w:t xml:space="preserve"> </w:t>
      </w:r>
      <w:r>
        <w:rPr>
          <w:b/>
          <w:bCs/>
        </w:rPr>
        <w:t xml:space="preserve">AWS CDK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implementation/infra</w:t>
      </w:r>
      <w:r>
        <w:t xml:space="preserve">, 8 stacks).</w:t>
      </w:r>
    </w:p>
    <w:bookmarkEnd w:id="65"/>
    <w:bookmarkStart w:id="66" w:name="decision-required-4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Which tool defines and manages the AWS infrastructure?</w:t>
      </w:r>
    </w:p>
    <w:bookmarkEnd w:id="66"/>
    <w:bookmarkStart w:id="70" w:name="alternatives-evaluated-4"/>
    <w:p>
      <w:pPr>
        <w:pStyle w:val="Heading2"/>
      </w:pPr>
      <w:r>
        <w:t xml:space="preserve">Alternatives evaluated</w:t>
      </w:r>
    </w:p>
    <w:bookmarkStart w:id="67" w:name="aws-cdk-typescript"/>
    <w:p>
      <w:pPr>
        <w:pStyle w:val="Heading3"/>
      </w:pPr>
      <w:r>
        <w:t xml:space="preserve">1. AWS CDK (TypeScript)</w:t>
      </w:r>
    </w:p>
    <w:p>
      <w:pPr>
        <w:pStyle w:val="Compact"/>
        <w:numPr>
          <w:ilvl w:val="0"/>
          <w:numId w:val="1015"/>
        </w:numPr>
      </w:pPr>
      <w:r>
        <w:t xml:space="preserve">Same language as the application; loops, types, and IDE support for free.</w:t>
      </w:r>
    </w:p>
    <w:p>
      <w:pPr>
        <w:pStyle w:val="Compact"/>
        <w:numPr>
          <w:ilvl w:val="0"/>
          <w:numId w:val="1015"/>
        </w:numPr>
      </w:pPr>
      <w:r>
        <w:t xml:space="preserve">High-level constructs cut boilerplate (one construct wires a Fargate service, LB, logs).</w:t>
      </w:r>
    </w:p>
    <w:p>
      <w:pPr>
        <w:pStyle w:val="Compact"/>
        <w:numPr>
          <w:ilvl w:val="0"/>
          <w:numId w:val="1015"/>
        </w:numPr>
      </w:pPr>
      <w:r>
        <w:t xml:space="preserve">First-class AWS support; synthesizes CloudFormation.</w:t>
      </w:r>
      <w:r>
        <w:t xml:space="preserve"> </w:t>
      </w:r>
      <w:r>
        <w:t xml:space="preserve">− Constructs hide the underlying resources; CFN diffs are harder to read.</w:t>
      </w:r>
      <w:r>
        <w:t xml:space="preserve"> </w:t>
      </w:r>
      <w:r>
        <w:t xml:space="preserve">− AWS-only.</w:t>
      </w:r>
    </w:p>
    <w:bookmarkEnd w:id="67"/>
    <w:bookmarkStart w:id="68" w:name="terraform-hcl"/>
    <w:p>
      <w:pPr>
        <w:pStyle w:val="Heading3"/>
      </w:pPr>
      <w:r>
        <w:t xml:space="preserve">2. Terraform (HCL)</w:t>
      </w:r>
    </w:p>
    <w:p>
      <w:pPr>
        <w:pStyle w:val="Compact"/>
        <w:numPr>
          <w:ilvl w:val="0"/>
          <w:numId w:val="1016"/>
        </w:numPr>
      </w:pPr>
      <w:r>
        <w:t xml:space="preserve">Cloud-agnostic; explicit state and drift detection; 1:1 resource mapping.</w:t>
      </w:r>
      <w:r>
        <w:t xml:space="preserve"> </w:t>
      </w:r>
      <w:r>
        <w:t xml:space="preserve">− A second language alongside TypeScript; state backend must be bootstrapped.</w:t>
      </w:r>
    </w:p>
    <w:bookmarkEnd w:id="68"/>
    <w:bookmarkStart w:id="69" w:name="raw-cloudformation"/>
    <w:p>
      <w:pPr>
        <w:pStyle w:val="Heading3"/>
      </w:pPr>
      <w:r>
        <w:t xml:space="preserve">3. Raw CloudFormation</w:t>
      </w:r>
    </w:p>
    <w:p>
      <w:pPr>
        <w:pStyle w:val="Compact"/>
        <w:numPr>
          <w:ilvl w:val="0"/>
          <w:numId w:val="1017"/>
        </w:numPr>
      </w:pPr>
      <w:r>
        <w:t xml:space="preserve">Native, no extra tooling.</w:t>
      </w:r>
      <w:r>
        <w:t xml:space="preserve"> </w:t>
      </w:r>
      <w:r>
        <w:t xml:space="preserve">− Verbose; slow feedback; painful rollbacks.</w:t>
      </w:r>
    </w:p>
    <w:bookmarkEnd w:id="69"/>
    <w:bookmarkEnd w:id="70"/>
    <w:bookmarkStart w:id="71" w:name="decision-4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Option 1: AWS CDK (TypeScript).</w:t>
      </w:r>
    </w:p>
    <w:p>
      <w:pPr>
        <w:pStyle w:val="Compact"/>
        <w:numPr>
          <w:ilvl w:val="0"/>
          <w:numId w:val="1018"/>
        </w:numPr>
      </w:pPr>
      <w:r>
        <w:t xml:space="preserve">Rationale: one language across app and infra, fast iteration, and high-level constructs match</w:t>
      </w:r>
      <w:r>
        <w:t xml:space="preserve"> </w:t>
      </w:r>
      <w:r>
        <w:t xml:space="preserve">a small team moving quickly. The whole stack set is already expressed in CDK.</w:t>
      </w:r>
    </w:p>
    <w:p>
      <w:pPr>
        <w:pStyle w:val="Compact"/>
        <w:numPr>
          <w:ilvl w:val="0"/>
          <w:numId w:val="1018"/>
        </w:numPr>
      </w:pPr>
      <w:r>
        <w:t xml:space="preserve">Consequence accepted: AWS lock-in and CFN’s diff/rollback characteristics.</w:t>
      </w:r>
    </w:p>
    <w:p>
      <w:pPr>
        <w:pStyle w:val="Compact"/>
        <w:numPr>
          <w:ilvl w:val="0"/>
          <w:numId w:val="1018"/>
        </w:numPr>
      </w:pPr>
      <w:r>
        <w:t xml:space="preserve">Environment split (ADR-0011) is implemented by parameterizing</w:t>
      </w:r>
      <w:r>
        <w:t xml:space="preserve"> </w:t>
      </w:r>
      <w:r>
        <w:rPr>
          <w:rStyle w:val="VerbatimChar"/>
        </w:rPr>
        <w:t xml:space="preserve">bin/infra.ts</w:t>
      </w:r>
      <w:r>
        <w:t xml:space="preserve"> </w:t>
      </w:r>
      <w:r>
        <w:t xml:space="preserve">with an env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-c env=dev|prod</w:t>
      </w:r>
      <w:r>
        <w:t xml:space="preserve">) to emit</w:t>
      </w:r>
      <w:r>
        <w:t xml:space="preserve"> </w:t>
      </w:r>
      <w:r>
        <w:rPr>
          <w:rStyle w:val="VerbatimChar"/>
        </w:rPr>
        <w:t xml:space="preserve">DocBridge-dev-*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DocBridge-prod-*</w:t>
      </w:r>
      <w:r>
        <w:t xml:space="preserve"> </w:t>
      </w:r>
      <w:r>
        <w:t xml:space="preserve">stacks.</w:t>
      </w:r>
    </w:p>
    <w:p>
      <w:pPr>
        <w:pStyle w:val="Compact"/>
        <w:numPr>
          <w:ilvl w:val="0"/>
          <w:numId w:val="1018"/>
        </w:numPr>
      </w:pPr>
      <w:r>
        <w:t xml:space="preserve">Ratified by: Amo Paymon (2026-09-27)</w:t>
      </w:r>
    </w:p>
    <w:bookmarkEnd w:id="71"/>
    <w:bookmarkEnd w:id="72"/>
    <w:bookmarkStart w:id="80" w:name="Xc0d033b1f2184d2089a1c8575744e1017f216b2"/>
    <w:p>
      <w:pPr>
        <w:pStyle w:val="Heading1"/>
      </w:pPr>
      <w:r>
        <w:t xml:space="preserve">ADR-0008 — Single RDS PostgreSQL, migrate-on-startup</w:t>
      </w:r>
    </w:p>
    <w:bookmarkStart w:id="73" w:name="context-5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DocBridge stores jobs, tasks, and file metadata, with a burst-insert pattern (a job plus its</w:t>
      </w:r>
      <w:r>
        <w:t xml:space="preserve"> </w:t>
      </w:r>
      <w:r>
        <w:t xml:space="preserve">tasks) and dashboard queries that aggregate task status per job. The system uses a single RDS</w:t>
      </w:r>
      <w:r>
        <w:t xml:space="preserve"> </w:t>
      </w:r>
      <w:r>
        <w:t xml:space="preserve">PostgreSQL instance; migrations run on service startup (</w:t>
      </w:r>
      <w:r>
        <w:rPr>
          <w:rStyle w:val="VerbatimChar"/>
        </w:rPr>
        <w:t xml:space="preserve">src/startup.ts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src/db</w:t>
      </w:r>
      <w:r>
        <w:t xml:space="preserve">).</w:t>
      </w:r>
    </w:p>
    <w:bookmarkEnd w:id="73"/>
    <w:bookmarkStart w:id="74" w:name="decision-required-5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Which database engine and topology, and how are migrations applied?</w:t>
      </w:r>
    </w:p>
    <w:bookmarkEnd w:id="74"/>
    <w:bookmarkStart w:id="78" w:name="alternatives-evaluated-5"/>
    <w:p>
      <w:pPr>
        <w:pStyle w:val="Heading2"/>
      </w:pPr>
      <w:r>
        <w:t xml:space="preserve">Alternatives evaluated</w:t>
      </w:r>
    </w:p>
    <w:bookmarkStart w:id="75" w:name="Xd76f15ca2398aed1d34f094a2a204f45a530cf5"/>
    <w:p>
      <w:pPr>
        <w:pStyle w:val="Heading3"/>
      </w:pPr>
      <w:r>
        <w:t xml:space="preserve">1. Single PostgreSQL instance, migrate-on-startup</w:t>
      </w:r>
    </w:p>
    <w:p>
      <w:pPr>
        <w:pStyle w:val="Compact"/>
        <w:numPr>
          <w:ilvl w:val="0"/>
          <w:numId w:val="1019"/>
        </w:numPr>
      </w:pPr>
      <w:r>
        <w:t xml:space="preserve">Relational model fits jobs/tasks/ownership; transactional job+task inserts.</w:t>
      </w:r>
    </w:p>
    <w:p>
      <w:pPr>
        <w:pStyle w:val="Compact"/>
        <w:numPr>
          <w:ilvl w:val="0"/>
          <w:numId w:val="1019"/>
        </w:numPr>
      </w:pPr>
      <w:r>
        <w:t xml:space="preserve">Status aggregation is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on an indexed column.</w:t>
      </w:r>
    </w:p>
    <w:p>
      <w:pPr>
        <w:pStyle w:val="Compact"/>
        <w:numPr>
          <w:ilvl w:val="0"/>
          <w:numId w:val="1019"/>
        </w:numPr>
      </w:pPr>
      <w:r>
        <w:t xml:space="preserve">One instance to run and back up — matches current scale.</w:t>
      </w:r>
      <w:r>
        <w:t xml:space="preserve"> </w:t>
      </w:r>
      <w:r>
        <w:t xml:space="preserve">− Migrate-on-startup races if multiple tasks boot simultaneously (needs an advisory lock or a</w:t>
      </w:r>
      <w:r>
        <w:t xml:space="preserve"> </w:t>
      </w:r>
      <w:r>
        <w:t xml:space="preserve">single migrate step).</w:t>
      </w:r>
      <w:r>
        <w:t xml:space="preserve"> </w:t>
      </w:r>
      <w:r>
        <w:t xml:space="preserve">− Single failure domain.</w:t>
      </w:r>
    </w:p>
    <w:bookmarkEnd w:id="75"/>
    <w:bookmarkStart w:id="76" w:name="dynamodb-for-jobtask-store"/>
    <w:p>
      <w:pPr>
        <w:pStyle w:val="Heading3"/>
      </w:pPr>
      <w:r>
        <w:t xml:space="preserve">2. DynamoDB for job/task store</w:t>
      </w:r>
    </w:p>
    <w:p>
      <w:pPr>
        <w:pStyle w:val="Compact"/>
        <w:numPr>
          <w:ilvl w:val="0"/>
          <w:numId w:val="1020"/>
        </w:numPr>
      </w:pPr>
      <w:r>
        <w:t xml:space="preserve">High write throughput, pay-per-request.</w:t>
      </w:r>
      <w:r>
        <w:t xml:space="preserve"> </w:t>
      </w:r>
      <w:r>
        <w:t xml:space="preserve">− Breaks transactional job+task insert; status aggregation becomes hand-built bookkeeping;</w:t>
      </w:r>
      <w:r>
        <w:t xml:space="preserve"> </w:t>
      </w:r>
      <w:r>
        <w:t xml:space="preserve">throughput far exceeds the need.</w:t>
      </w:r>
    </w:p>
    <w:bookmarkEnd w:id="76"/>
    <w:bookmarkStart w:id="77" w:name="Xb125c8339da83d54852cb80f3b55bae490a9385"/>
    <w:p>
      <w:pPr>
        <w:pStyle w:val="Heading3"/>
      </w:pPr>
      <w:r>
        <w:t xml:space="preserve">3. Three isolated logical databases (per future service)</w:t>
      </w:r>
    </w:p>
    <w:p>
      <w:pPr>
        <w:pStyle w:val="Compact"/>
        <w:numPr>
          <w:ilvl w:val="0"/>
          <w:numId w:val="1021"/>
        </w:numPr>
      </w:pPr>
      <w:r>
        <w:t xml:space="preserve">Enforced ownership; textbook microservice end-state.</w:t>
      </w:r>
      <w:r>
        <w:t xml:space="preserve"> </w:t>
      </w:r>
      <w:r>
        <w:t xml:space="preserve">− Unjustified now given the single-service decision (ADR-0004).</w:t>
      </w:r>
    </w:p>
    <w:bookmarkEnd w:id="77"/>
    <w:bookmarkEnd w:id="78"/>
    <w:bookmarkStart w:id="79" w:name="decision-5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Option 1: one PostgreSQL instance, migrate-on-startup.</w:t>
      </w:r>
    </w:p>
    <w:p>
      <w:pPr>
        <w:pStyle w:val="Compact"/>
        <w:numPr>
          <w:ilvl w:val="0"/>
          <w:numId w:val="1022"/>
        </w:numPr>
      </w:pPr>
      <w:r>
        <w:t xml:space="preserve">Rationale: every workload is inside PostgreSQL’s comfort zone; a single instance matches scale</w:t>
      </w:r>
      <w:r>
        <w:t xml:space="preserve"> </w:t>
      </w:r>
      <w:r>
        <w:t xml:space="preserve">and the single-service architecture.</w:t>
      </w:r>
    </w:p>
    <w:p>
      <w:pPr>
        <w:pStyle w:val="Compact"/>
        <w:numPr>
          <w:ilvl w:val="0"/>
          <w:numId w:val="1022"/>
        </w:numPr>
      </w:pPr>
      <w:r>
        <w:t xml:space="preserve">Consequence accepted / follow-up task: guard startup migration against concurrent boots</w:t>
      </w:r>
      <w:r>
        <w:t xml:space="preserve"> </w:t>
      </w:r>
      <w:r>
        <w:t xml:space="preserve">(advisory lock or a dedicated migrate step) so</w:t>
      </w:r>
      <w:r>
        <w:t xml:space="preserve"> </w:t>
      </w:r>
      <w:r>
        <w:rPr>
          <w:rStyle w:val="VerbatimChar"/>
        </w:rPr>
        <w:t xml:space="preserve">desired_count &gt; 1</w:t>
      </w:r>
      <w:r>
        <w:t xml:space="preserve"> </w:t>
      </w:r>
      <w:r>
        <w:t xml:space="preserve">is safe.</w:t>
      </w:r>
    </w:p>
    <w:p>
      <w:pPr>
        <w:pStyle w:val="Compact"/>
        <w:numPr>
          <w:ilvl w:val="0"/>
          <w:numId w:val="1022"/>
        </w:numPr>
      </w:pPr>
      <w:r>
        <w:t xml:space="preserve">Ratified by: Amo Paymon (2026-09-27)</w:t>
      </w:r>
    </w:p>
    <w:bookmarkEnd w:id="79"/>
    <w:bookmarkEnd w:id="80"/>
    <w:bookmarkStart w:id="88" w:name="adr-0009-s3-sse-kms-for-staged-files"/>
    <w:p>
      <w:pPr>
        <w:pStyle w:val="Heading1"/>
      </w:pPr>
      <w:r>
        <w:t xml:space="preserve">ADR-0009 — S3 SSE-KMS for staged files</w:t>
      </w:r>
    </w:p>
    <w:bookmarkStart w:id="81" w:name="context-6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Staged files are clinical documents and must be encrypted at rest, with encryption managed by a</w:t>
      </w:r>
      <w:r>
        <w:t xml:space="preserve"> </w:t>
      </w:r>
      <w:r>
        <w:t xml:space="preserve">cloud KMS (no home-grown crypto). Files land in S3 and are read back by the worker for delivery.</w:t>
      </w:r>
    </w:p>
    <w:bookmarkEnd w:id="81"/>
    <w:bookmarkStart w:id="82" w:name="decision-required-6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Which S3 server-side encryption mode for the staging bucket?</w:t>
      </w:r>
    </w:p>
    <w:bookmarkEnd w:id="82"/>
    <w:bookmarkStart w:id="86" w:name="alternatives-evaluated-6"/>
    <w:p>
      <w:pPr>
        <w:pStyle w:val="Heading2"/>
      </w:pPr>
      <w:r>
        <w:t xml:space="preserve">Alternatives evaluated</w:t>
      </w:r>
    </w:p>
    <w:bookmarkStart w:id="83" w:name="sse-kms-kms-managed-key"/>
    <w:p>
      <w:pPr>
        <w:pStyle w:val="Heading3"/>
      </w:pPr>
      <w:r>
        <w:t xml:space="preserve">1. SSE-KMS (KMS-managed key)</w:t>
      </w:r>
    </w:p>
    <w:p>
      <w:pPr>
        <w:pStyle w:val="Compact"/>
        <w:numPr>
          <w:ilvl w:val="0"/>
          <w:numId w:val="1023"/>
        </w:numPr>
      </w:pPr>
      <w:r>
        <w:t xml:space="preserve">KMS performs encryption; usage audited in CloudTrail; no crypto written by us.</w:t>
      </w:r>
    </w:p>
    <w:p>
      <w:pPr>
        <w:pStyle w:val="Compact"/>
        <w:numPr>
          <w:ilvl w:val="0"/>
          <w:numId w:val="1023"/>
        </w:numPr>
      </w:pPr>
      <w:r>
        <w:t xml:space="preserve">Compatible with direct browser uploads and worker reads.</w:t>
      </w:r>
    </w:p>
    <w:p>
      <w:pPr>
        <w:pStyle w:val="Compact"/>
        <w:numPr>
          <w:ilvl w:val="0"/>
          <w:numId w:val="1023"/>
        </w:numPr>
      </w:pPr>
      <w:r>
        <w:t xml:space="preserve">Path to a customer-managed key (CMK) later without application changes.</w:t>
      </w:r>
      <w:r>
        <w:t xml:space="preserve"> </w:t>
      </w:r>
      <w:r>
        <w:t xml:space="preserve">− Per-request KMS cost (reduced with S3 Bucket Keys).</w:t>
      </w:r>
    </w:p>
    <w:bookmarkEnd w:id="83"/>
    <w:bookmarkStart w:id="84" w:name="sse-s3-s3-managed-keys"/>
    <w:p>
      <w:pPr>
        <w:pStyle w:val="Heading3"/>
      </w:pPr>
      <w:r>
        <w:t xml:space="preserve">2. SSE-S3 (S3-managed keys)</w:t>
      </w:r>
    </w:p>
    <w:p>
      <w:pPr>
        <w:pStyle w:val="Compact"/>
        <w:numPr>
          <w:ilvl w:val="0"/>
          <w:numId w:val="1024"/>
        </w:numPr>
      </w:pPr>
      <w:r>
        <w:t xml:space="preserve">Zero config, no KMS cost.</w:t>
      </w:r>
      <w:r>
        <w:t xml:space="preserve"> </w:t>
      </w:r>
      <w:r>
        <w:t xml:space="preserve">− No key we control; weakest for a compliance-sensitive domain.</w:t>
      </w:r>
    </w:p>
    <w:bookmarkEnd w:id="84"/>
    <w:bookmarkStart w:id="85" w:name="sse-c-customer-provided-keys"/>
    <w:p>
      <w:pPr>
        <w:pStyle w:val="Heading3"/>
      </w:pPr>
      <w:r>
        <w:t xml:space="preserve">3. SSE-C (customer-provided keys)</w:t>
      </w:r>
    </w:p>
    <w:p>
      <w:pPr>
        <w:pStyle w:val="Compact"/>
        <w:numPr>
          <w:ilvl w:val="0"/>
          <w:numId w:val="1025"/>
        </w:numPr>
      </w:pPr>
      <w:r>
        <w:t xml:space="preserve">Full possession of key material.</w:t>
      </w:r>
      <w:r>
        <w:t xml:space="preserve"> </w:t>
      </w:r>
      <w:r>
        <w:t xml:space="preserve">− Key bytes must travel with every request; incompatible with presigned browser uploads.</w:t>
      </w:r>
    </w:p>
    <w:bookmarkEnd w:id="85"/>
    <w:bookmarkEnd w:id="86"/>
    <w:bookmarkStart w:id="87" w:name="decision-6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Option 1: SSE-KMS</w:t>
      </w:r>
      <w:r>
        <w:t xml:space="preserve">, with S3 Bucket Keys enabled to cut request cost.</w:t>
      </w:r>
    </w:p>
    <w:p>
      <w:pPr>
        <w:pStyle w:val="Compact"/>
        <w:numPr>
          <w:ilvl w:val="0"/>
          <w:numId w:val="1026"/>
        </w:numPr>
      </w:pPr>
      <w:r>
        <w:t xml:space="preserve">Rationale: satisfies</w:t>
      </w:r>
      <w:r>
        <w:t xml:space="preserve"> </w:t>
      </w:r>
      <w:r>
        <w:t xml:space="preserve">“</w:t>
      </w:r>
      <w:r>
        <w:t xml:space="preserve">encryption managed by a cloud KMS, no crypto by us,</w:t>
      </w:r>
      <w:r>
        <w:t xml:space="preserve">”</w:t>
      </w:r>
      <w:r>
        <w:t xml:space="preserve"> </w:t>
      </w:r>
      <w:r>
        <w:t xml:space="preserve">audited in</w:t>
      </w:r>
      <w:r>
        <w:t xml:space="preserve"> </w:t>
      </w:r>
      <w:r>
        <w:t xml:space="preserve">CloudTrail, and keeps direct-to-S3 uploads working.</w:t>
      </w:r>
    </w:p>
    <w:p>
      <w:pPr>
        <w:pStyle w:val="Compact"/>
        <w:numPr>
          <w:ilvl w:val="0"/>
          <w:numId w:val="1026"/>
        </w:numPr>
      </w:pPr>
      <w:r>
        <w:t xml:space="preserve">Upgrade path: switch to a customer-managed key if a client/auditor requires key ownership —</w:t>
      </w:r>
      <w:r>
        <w:t xml:space="preserve"> </w:t>
      </w:r>
      <w:r>
        <w:t xml:space="preserve">a bucket-setting + key-resource change, invisible to app code.</w:t>
      </w:r>
    </w:p>
    <w:p>
      <w:pPr>
        <w:pStyle w:val="Compact"/>
        <w:numPr>
          <w:ilvl w:val="0"/>
          <w:numId w:val="1026"/>
        </w:numPr>
      </w:pPr>
      <w:r>
        <w:t xml:space="preserve">Ratified by: Amo Paymon (2026-09-27)</w:t>
      </w:r>
    </w:p>
    <w:bookmarkEnd w:id="87"/>
    <w:bookmarkEnd w:id="88"/>
    <w:bookmarkStart w:id="96" w:name="Xd601fb36fd50727471d8026e4581ddc2b2be2e5"/>
    <w:p>
      <w:pPr>
        <w:pStyle w:val="Heading1"/>
      </w:pPr>
      <w:r>
        <w:t xml:space="preserve">ADR-0010 — DynamoDB routing table for destinations</w:t>
      </w:r>
    </w:p>
    <w:bookmarkStart w:id="89" w:name="context-7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Each task carries a destination whose region determines the destination API endpoint. The worker</w:t>
      </w:r>
      <w:r>
        <w:t xml:space="preserve"> </w:t>
      </w:r>
      <w:r>
        <w:t xml:space="preserve">must resolve</w:t>
      </w:r>
      <w:r>
        <w:t xml:space="preserve"> </w:t>
      </w:r>
      <w:r>
        <w:rPr>
          <w:rStyle w:val="VerbatimChar"/>
        </w:rPr>
        <w:t xml:space="preserve">region → { endpointUrl, authType, authToken }</w:t>
      </w:r>
      <w:r>
        <w:t xml:space="preserve"> </w:t>
      </w:r>
      <w:r>
        <w:t xml:space="preserve">at delivery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routing-service.ts</w:t>
      </w:r>
      <w:r>
        <w:t xml:space="preserve">). This is a small, high-read, key-value lookup that changes rarely.</w:t>
      </w:r>
    </w:p>
    <w:bookmarkEnd w:id="89"/>
    <w:bookmarkStart w:id="90" w:name="decision-required-7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Where does the region → destination-endpoint routing configuration live?</w:t>
      </w:r>
    </w:p>
    <w:bookmarkEnd w:id="90"/>
    <w:bookmarkStart w:id="94" w:name="alternatives-evaluated-7"/>
    <w:p>
      <w:pPr>
        <w:pStyle w:val="Heading2"/>
      </w:pPr>
      <w:r>
        <w:t xml:space="preserve">Alternatives evaluated</w:t>
      </w:r>
    </w:p>
    <w:bookmarkStart w:id="91" w:name="dynamodb-routing-table"/>
    <w:p>
      <w:pPr>
        <w:pStyle w:val="Heading3"/>
      </w:pPr>
      <w:r>
        <w:t xml:space="preserve">1. DynamoDB routing table</w:t>
      </w:r>
    </w:p>
    <w:p>
      <w:pPr>
        <w:pStyle w:val="Compact"/>
        <w:numPr>
          <w:ilvl w:val="0"/>
          <w:numId w:val="1027"/>
        </w:numPr>
      </w:pPr>
      <w:r>
        <w:t xml:space="preserve">Simple key-value lookup, single-digit-ms reads, fully managed.</w:t>
      </w:r>
    </w:p>
    <w:p>
      <w:pPr>
        <w:pStyle w:val="Compact"/>
        <w:numPr>
          <w:ilvl w:val="0"/>
          <w:numId w:val="1027"/>
        </w:numPr>
      </w:pPr>
      <w:r>
        <w:t xml:space="preserve">Config changes are data writes, not deploys.</w:t>
      </w:r>
    </w:p>
    <w:p>
      <w:pPr>
        <w:pStyle w:val="Compact"/>
        <w:numPr>
          <w:ilvl w:val="0"/>
          <w:numId w:val="1027"/>
        </w:numPr>
      </w:pPr>
      <w:r>
        <w:t xml:space="preserve">Independent of the relational store, so routing changes never touch the jobs/tasks schema.</w:t>
      </w:r>
      <w:r>
        <w:t xml:space="preserve"> </w:t>
      </w:r>
      <w:r>
        <w:t xml:space="preserve">− A second datastore to provision and seed.</w:t>
      </w:r>
      <w:r>
        <w:t xml:space="preserve"> </w:t>
      </w:r>
      <w:r>
        <w:t xml:space="preserve">− Cross-store consistency is manual (routing vs task rows), acceptable for rarely-changing config.</w:t>
      </w:r>
    </w:p>
    <w:bookmarkEnd w:id="91"/>
    <w:bookmarkStart w:id="92" w:name="postgresql-table"/>
    <w:p>
      <w:pPr>
        <w:pStyle w:val="Heading3"/>
      </w:pPr>
      <w:r>
        <w:t xml:space="preserve">2. PostgreSQL table</w:t>
      </w:r>
    </w:p>
    <w:p>
      <w:pPr>
        <w:pStyle w:val="Compact"/>
        <w:numPr>
          <w:ilvl w:val="0"/>
          <w:numId w:val="1028"/>
        </w:numPr>
      </w:pPr>
      <w:r>
        <w:t xml:space="preserve">Reuses the existing database; joinable with tasks.</w:t>
      </w:r>
      <w:r>
        <w:t xml:space="preserve"> </w:t>
      </w:r>
      <w:r>
        <w:t xml:space="preserve">− Couples routing config to the app schema and its migration/deploy cycle for data that is</w:t>
      </w:r>
      <w:r>
        <w:t xml:space="preserve"> </w:t>
      </w:r>
      <w:r>
        <w:t xml:space="preserve">operational config, not domain data.</w:t>
      </w:r>
    </w:p>
    <w:bookmarkEnd w:id="92"/>
    <w:bookmarkStart w:id="93" w:name="X6aa44d425bfebd768c41d50a5e906cfa2db33df"/>
    <w:p>
      <w:pPr>
        <w:pStyle w:val="Heading3"/>
      </w:pPr>
      <w:r>
        <w:t xml:space="preserve">3. Config file / environment variables baked into the image</w:t>
      </w:r>
    </w:p>
    <w:p>
      <w:pPr>
        <w:pStyle w:val="Compact"/>
        <w:numPr>
          <w:ilvl w:val="0"/>
          <w:numId w:val="1029"/>
        </w:numPr>
      </w:pPr>
      <w:r>
        <w:t xml:space="preserve">No datastore at all.</w:t>
      </w:r>
      <w:r>
        <w:t xml:space="preserve"> </w:t>
      </w:r>
      <w:r>
        <w:t xml:space="preserve">− Changing an endpoint requires a redeploy; poor fit for per-region operational config.</w:t>
      </w:r>
    </w:p>
    <w:bookmarkEnd w:id="93"/>
    <w:bookmarkEnd w:id="94"/>
    <w:bookmarkStart w:id="95" w:name="decision-7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Option 1: DynamoDB routing table.</w:t>
      </w:r>
    </w:p>
    <w:p>
      <w:pPr>
        <w:pStyle w:val="Compact"/>
        <w:numPr>
          <w:ilvl w:val="0"/>
          <w:numId w:val="1030"/>
        </w:numPr>
      </w:pPr>
      <w:r>
        <w:t xml:space="preserve">Rationale: the access pattern is exactly a key-value lookup; keeping routing config out of the</w:t>
      </w:r>
      <w:r>
        <w:t xml:space="preserve"> </w:t>
      </w:r>
      <w:r>
        <w:t xml:space="preserve">relational schema and out of the image lets endpoints change without a deploy or a migration.</w:t>
      </w:r>
    </w:p>
    <w:p>
      <w:pPr>
        <w:pStyle w:val="Compact"/>
        <w:numPr>
          <w:ilvl w:val="0"/>
          <w:numId w:val="1030"/>
        </w:numPr>
      </w:pPr>
      <w:r>
        <w:t xml:space="preserve">Ratified by: Amo Paymon (2026-09-27)</w:t>
      </w:r>
    </w:p>
    <w:bookmarkEnd w:id="95"/>
    <w:bookmarkEnd w:id="96"/>
    <w:bookmarkStart w:id="104" w:name="Xb5df69f7654f60104a362dcf7bbc77bab671aae"/>
    <w:p>
      <w:pPr>
        <w:pStyle w:val="Heading1"/>
      </w:pPr>
      <w:r>
        <w:t xml:space="preserve">ADR-0011 — Dev/Prod environments in one account + promotion pipeline</w:t>
      </w:r>
    </w:p>
    <w:bookmarkStart w:id="97" w:name="context-8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There is a single AWS account (</w:t>
      </w:r>
      <w:r>
        <w:rPr>
          <w:rStyle w:val="VerbatimChar"/>
        </w:rPr>
        <w:t xml:space="preserve">930330383608</w:t>
      </w:r>
      <w:r>
        <w:t xml:space="preserve">). The current CI (</w:t>
      </w:r>
      <w:r>
        <w:rPr>
          <w:rStyle w:val="VerbatimChar"/>
        </w:rPr>
        <w:t xml:space="preserve">.github/workflows/ci.yml</w:t>
      </w:r>
      <w:r>
        <w:t xml:space="preserve">)</w:t>
      </w:r>
      <w:r>
        <w:t xml:space="preserve"> </w:t>
      </w:r>
      <w:r>
        <w:t xml:space="preserve">deploys a single set of</w:t>
      </w:r>
      <w:r>
        <w:t xml:space="preserve"> </w:t>
      </w:r>
      <w:r>
        <w:rPr>
          <w:rStyle w:val="VerbatimChar"/>
        </w:rPr>
        <w:t xml:space="preserve">DocBridge-*</w:t>
      </w:r>
      <w:r>
        <w:t xml:space="preserve"> </w:t>
      </w:r>
      <w:r>
        <w:t xml:space="preserve">stacks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We need separate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</w:t>
      </w:r>
      <w:r>
        <w:t xml:space="preserve"> </w:t>
      </w:r>
      <w:r>
        <w:t xml:space="preserve">environments, publishing to Dev first and promoting to Prod after approval, with the</w:t>
      </w:r>
      <w:r>
        <w:t xml:space="preserve"> </w:t>
      </w:r>
      <w:r>
        <w:t xml:space="preserve">running code visibly mapped to a commit.</w:t>
      </w:r>
    </w:p>
    <w:bookmarkEnd w:id="97"/>
    <w:bookmarkStart w:id="98" w:name="decision-required-8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How do we get two isolated environments in one account, and how do pipelines promote Dev → Prod?</w:t>
      </w:r>
    </w:p>
    <w:bookmarkEnd w:id="98"/>
    <w:bookmarkStart w:id="102" w:name="alternatives-evaluated-8"/>
    <w:p>
      <w:pPr>
        <w:pStyle w:val="Heading2"/>
      </w:pPr>
      <w:r>
        <w:t xml:space="preserve">Alternatives evaluated</w:t>
      </w:r>
    </w:p>
    <w:bookmarkStart w:id="99" w:name="X6026205e61b33a2f5474ec8a639aed1dede2329"/>
    <w:p>
      <w:pPr>
        <w:pStyle w:val="Heading3"/>
      </w:pPr>
      <w:r>
        <w:t xml:space="preserve">1. Env-suffixed CDK stacks in one account (</w:t>
      </w:r>
      <w:r>
        <w:rPr>
          <w:rStyle w:val="VerbatimChar"/>
        </w:rPr>
        <w:t xml:space="preserve">DocBridge-dev-*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DocBridge-prod-*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Full resource isolation (ECS, RDS, S3, DynamoDB, Cognito) per environment, one account.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bin/infra.ts</w:t>
      </w:r>
      <w:r>
        <w:t xml:space="preserve"> </w:t>
      </w:r>
      <w:r>
        <w:t xml:space="preserve">parameterized by</w:t>
      </w:r>
      <w:r>
        <w:t xml:space="preserve"> </w:t>
      </w:r>
      <w:r>
        <w:rPr>
          <w:rStyle w:val="VerbatimChar"/>
        </w:rPr>
        <w:t xml:space="preserve">-c env=dev|prod</w:t>
      </w:r>
      <w:r>
        <w:t xml:space="preserve">;</w:t>
      </w:r>
      <w:r>
        <w:t xml:space="preserve"> </w:t>
      </w:r>
      <w:r>
        <w:rPr>
          <w:rStyle w:val="VerbatimChar"/>
        </w:rPr>
        <w:t xml:space="preserve">envs/*</w:t>
      </w:r>
      <w:r>
        <w:t xml:space="preserve"> </w:t>
      </w:r>
      <w:r>
        <w:t xml:space="preserve">differ only in variables.</w:t>
      </w:r>
    </w:p>
    <w:p>
      <w:pPr>
        <w:pStyle w:val="Compact"/>
        <w:numPr>
          <w:ilvl w:val="0"/>
          <w:numId w:val="1031"/>
        </w:numPr>
      </w:pPr>
      <w:r>
        <w:t xml:space="preserve">Cheapest path to isolation without multi-account setup.</w:t>
      </w:r>
      <w:r>
        <w:t xml:space="preserve"> </w:t>
      </w:r>
      <w:r>
        <w:t xml:space="preserve">− Shared account limits/blast radius; naming discipline required.</w:t>
      </w:r>
      <w:r>
        <w:t xml:space="preserve"> </w:t>
      </w:r>
      <w:r>
        <w:t xml:space="preserve">− Two of everything to pay for.</w:t>
      </w:r>
    </w:p>
    <w:bookmarkEnd w:id="99"/>
    <w:bookmarkStart w:id="100" w:name="two-aws-accounts-dev-prod"/>
    <w:p>
      <w:pPr>
        <w:pStyle w:val="Heading3"/>
      </w:pPr>
      <w:r>
        <w:t xml:space="preserve">2. Two AWS accounts (dev, prod)</w:t>
      </w:r>
    </w:p>
    <w:p>
      <w:pPr>
        <w:pStyle w:val="Compact"/>
        <w:numPr>
          <w:ilvl w:val="0"/>
          <w:numId w:val="1032"/>
        </w:numPr>
      </w:pPr>
      <w:r>
        <w:t xml:space="preserve">Strongest isolation and separate limits/billing.</w:t>
      </w:r>
      <w:r>
        <w:t xml:space="preserve"> </w:t>
      </w:r>
      <w:r>
        <w:t xml:space="preserve">− The user has and wants one account; org/account setup is out of scope.</w:t>
      </w:r>
    </w:p>
    <w:bookmarkEnd w:id="100"/>
    <w:bookmarkStart w:id="101" w:name="one-environment-with-feature-flags"/>
    <w:p>
      <w:pPr>
        <w:pStyle w:val="Heading3"/>
      </w:pPr>
      <w:r>
        <w:t xml:space="preserve">3. One environment with feature flags</w:t>
      </w:r>
    </w:p>
    <w:p>
      <w:pPr>
        <w:pStyle w:val="Compact"/>
        <w:numPr>
          <w:ilvl w:val="0"/>
          <w:numId w:val="1033"/>
        </w:numPr>
      </w:pPr>
      <w:r>
        <w:t xml:space="preserve">Cheapest.</w:t>
      </w:r>
      <w:r>
        <w:t xml:space="preserve"> </w:t>
      </w:r>
      <w:r>
        <w:t xml:space="preserve">− No real pre-prod; defeats the purpose of a promotion gate.</w:t>
      </w:r>
    </w:p>
    <w:bookmarkEnd w:id="101"/>
    <w:bookmarkEnd w:id="102"/>
    <w:bookmarkStart w:id="103" w:name="decision-8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Option 1: env-suffixed CDK stacks in the single account</w:t>
      </w:r>
      <w:r>
        <w:t xml:space="preserve">, with a promotion pipeline:</w:t>
      </w:r>
    </w:p>
    <w:p>
      <w:pPr>
        <w:pStyle w:val="Compact"/>
        <w:numPr>
          <w:ilvl w:val="1"/>
          <w:numId w:val="1035"/>
        </w:numPr>
      </w:pPr>
      <w:r>
        <w:t xml:space="preserve">CI on PRs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 build image tagged</w:t>
      </w:r>
      <w:r>
        <w:t xml:space="preserve"> </w:t>
      </w:r>
      <w:r>
        <w:rPr>
          <w:rStyle w:val="VerbatimChar"/>
        </w:rPr>
        <w:t xml:space="preserve">:${git-sha}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DocBridge-dev-*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manual approval (GitHub Environment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</w:t>
      </w:r>
      <w:r>
        <w:rPr>
          <w:b/>
          <w:bCs/>
        </w:rPr>
        <w:t xml:space="preserve">)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DocBridge-prod-*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Artifact identity / visibility:</w:t>
      </w:r>
      <w:r>
        <w:t xml:space="preserve"> </w:t>
      </w:r>
      <w:r>
        <w:t xml:space="preserve">images are tagged with the git SHA (not only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);</w:t>
      </w:r>
      <w:r>
        <w:t xml:space="preserve"> </w:t>
      </w:r>
      <w:r>
        <w:t xml:space="preserve">the deploy job prints the deployed image URI + commit so the running revision maps to a</w:t>
      </w:r>
      <w:r>
        <w:t xml:space="preserve"> </w:t>
      </w:r>
      <w:r>
        <w:t xml:space="preserve">commit. Rollback = redeploy a previous SHA.</w:t>
      </w:r>
    </w:p>
    <w:p>
      <w:pPr>
        <w:pStyle w:val="Compact"/>
        <w:numPr>
          <w:ilvl w:val="0"/>
          <w:numId w:val="1034"/>
        </w:numPr>
      </w:pPr>
      <w:r>
        <w:t xml:space="preserve">Consequence accepted: duplicated resources and per-account limits shared across envs.</w:t>
      </w:r>
    </w:p>
    <w:p>
      <w:pPr>
        <w:pStyle w:val="Compact"/>
        <w:numPr>
          <w:ilvl w:val="0"/>
          <w:numId w:val="1034"/>
        </w:numPr>
      </w:pPr>
      <w:r>
        <w:t xml:space="preserve">Ratified by: Amo Paymon (2026-09-27)</w:t>
      </w:r>
    </w:p>
    <w:bookmarkEnd w:id="103"/>
    <w:bookmarkEnd w:id="104"/>
    <w:bookmarkStart w:id="112" w:name="X275de668590519d0b6b01bd9d4646ec684ea3ec"/>
    <w:p>
      <w:pPr>
        <w:pStyle w:val="Heading1"/>
      </w:pPr>
      <w:r>
        <w:t xml:space="preserve">ADR-0012 — Frontend config/secret handling (OPEN)</w:t>
      </w:r>
    </w:p>
    <w:bookmarkStart w:id="105" w:name="context-9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frontend hardcodes the Cognito</w:t>
      </w:r>
      <w:r>
        <w:t xml:space="preserve"> </w:t>
      </w:r>
      <w:r>
        <w:rPr>
          <w:rStyle w:val="VerbatimChar"/>
        </w:rPr>
        <w:t xml:space="preserve">USER_POOL_ID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src/app/api/auth.ts</w:t>
      </w:r>
      <w:r>
        <w:t xml:space="preserve">. With two environments (ADR-0011), each has its own Cognito pool, so the</w:t>
      </w:r>
      <w:r>
        <w:t xml:space="preserve"> </w:t>
      </w:r>
      <w:r>
        <w:t xml:space="preserve">frontend must select the right pool per environment. Pool/client IDs are not secrets, but</w:t>
      </w:r>
      <w:r>
        <w:t xml:space="preserve"> </w:t>
      </w:r>
      <w:r>
        <w:t xml:space="preserve">hardcoding them prevents building one artifact that runs in both environments and couples the</w:t>
      </w:r>
      <w:r>
        <w:t xml:space="preserve"> </w:t>
      </w:r>
      <w:r>
        <w:t xml:space="preserve">SPA to a single pool.</w:t>
      </w:r>
    </w:p>
    <w:bookmarkEnd w:id="105"/>
    <w:bookmarkStart w:id="106" w:name="decision-required-9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How does the SPA obtain its per-environment configuration (Cognito pool/client, API base,</w:t>
      </w:r>
      <w:r>
        <w:t xml:space="preserve"> </w:t>
      </w:r>
      <w:r>
        <w:t xml:space="preserve">Hosted UI domain)?</w:t>
      </w:r>
    </w:p>
    <w:bookmarkEnd w:id="106"/>
    <w:bookmarkStart w:id="110" w:name="alternatives-evaluated-9"/>
    <w:p>
      <w:pPr>
        <w:pStyle w:val="Heading2"/>
      </w:pPr>
      <w:r>
        <w:t xml:space="preserve">Alternatives evaluated</w:t>
      </w:r>
    </w:p>
    <w:bookmarkStart w:id="107" w:name="Xa38bfda2ea9b00f5d44167cade4bc35ab8c0859"/>
    <w:p>
      <w:pPr>
        <w:pStyle w:val="Heading3"/>
      </w:pPr>
      <w:r>
        <w:t xml:space="preserve">1. Build-time env (Vite</w:t>
      </w:r>
      <w:r>
        <w:t xml:space="preserve"> </w:t>
      </w:r>
      <w:r>
        <w:rPr>
          <w:rStyle w:val="VerbatimChar"/>
        </w:rPr>
        <w:t xml:space="preserve">import.meta.env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Simple; already partly used (</w:t>
      </w:r>
      <w:r>
        <w:rPr>
          <w:rStyle w:val="VerbatimChar"/>
        </w:rPr>
        <w:t xml:space="preserve">VITE_API_BASE_URL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Values baked per build; matches the two-environment model.</w:t>
      </w:r>
      <w:r>
        <w:t xml:space="preserve"> </w:t>
      </w:r>
      <w:r>
        <w:t xml:space="preserve">− One build per environment; changing config requires a rebuild.</w:t>
      </w:r>
    </w:p>
    <w:bookmarkEnd w:id="107"/>
    <w:bookmarkStart w:id="108" w:name="runtime-config.json-fetched-on-boot"/>
    <w:p>
      <w:pPr>
        <w:pStyle w:val="Heading3"/>
      </w:pPr>
      <w:r>
        <w:t xml:space="preserve">2. Runtime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fetched on boot</w:t>
      </w:r>
    </w:p>
    <w:p>
      <w:pPr>
        <w:pStyle w:val="Compact"/>
        <w:numPr>
          <w:ilvl w:val="0"/>
          <w:numId w:val="1037"/>
        </w:numPr>
      </w:pPr>
      <w:r>
        <w:t xml:space="preserve">One artifact for all environments; config swapped without rebuild.</w:t>
      </w:r>
      <w:r>
        <w:t xml:space="preserve"> </w:t>
      </w:r>
      <w:r>
        <w:t xml:space="preserve">− An extra request on boot; a config file to deploy alongside the SPA.</w:t>
      </w:r>
    </w:p>
    <w:bookmarkEnd w:id="108"/>
    <w:bookmarkStart w:id="109" w:name="keep-hardcoded-values"/>
    <w:p>
      <w:pPr>
        <w:pStyle w:val="Heading3"/>
      </w:pPr>
      <w:r>
        <w:t xml:space="preserve">3. Keep hardcoded values</w:t>
      </w:r>
    </w:p>
    <w:p>
      <w:pPr>
        <w:pStyle w:val="Compact"/>
        <w:numPr>
          <w:ilvl w:val="0"/>
          <w:numId w:val="1038"/>
        </w:numPr>
      </w:pPr>
      <w:r>
        <w:t xml:space="preserve">Zero work.</w:t>
      </w:r>
      <w:r>
        <w:t xml:space="preserve"> </w:t>
      </w:r>
      <w:r>
        <w:t xml:space="preserve">− Cannot support two environments; the reason this ADR exists.</w:t>
      </w:r>
    </w:p>
    <w:bookmarkEnd w:id="109"/>
    <w:bookmarkEnd w:id="110"/>
    <w:bookmarkStart w:id="111" w:name="decision-9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OPEN.</w:t>
      </w:r>
      <w:r>
        <w:t xml:space="preserve"> </w:t>
      </w:r>
      <w:r>
        <w:t xml:space="preserve">Leaning toward</w:t>
      </w:r>
      <w:r>
        <w:t xml:space="preserve"> </w:t>
      </w:r>
      <w:r>
        <w:rPr>
          <w:b/>
          <w:bCs/>
        </w:rPr>
        <w:t xml:space="preserve">Option 1 (build-time env)</w:t>
      </w:r>
      <w:r>
        <w:t xml:space="preserve"> </w:t>
      </w:r>
      <w:r>
        <w:t xml:space="preserve">for this release because the pipeline</w:t>
      </w:r>
      <w:r>
        <w:t xml:space="preserve"> </w:t>
      </w:r>
      <w:r>
        <w:t xml:space="preserve">already builds per environment, with</w:t>
      </w:r>
      <w:r>
        <w:t xml:space="preserve"> </w:t>
      </w:r>
      <w:r>
        <w:rPr>
          <w:b/>
          <w:bCs/>
        </w:rPr>
        <w:t xml:space="preserve">Option 2</w:t>
      </w:r>
      <w:r>
        <w:t xml:space="preserve"> </w:t>
      </w:r>
      <w:r>
        <w:t xml:space="preserve">as the upgrade if we want a single artifact.</w:t>
      </w:r>
    </w:p>
    <w:p>
      <w:pPr>
        <w:pStyle w:val="Compact"/>
        <w:numPr>
          <w:ilvl w:val="0"/>
          <w:numId w:val="1039"/>
        </w:numPr>
      </w:pPr>
      <w:r>
        <w:t xml:space="preserve">Immediate remediation regardless of choice: remove hardcoded IDs from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and read from</w:t>
      </w:r>
      <w:r>
        <w:t xml:space="preserve"> </w:t>
      </w:r>
      <w:r>
        <w:t xml:space="preserve">config.</w:t>
      </w:r>
    </w:p>
    <w:p>
      <w:pPr>
        <w:pStyle w:val="Compact"/>
        <w:numPr>
          <w:ilvl w:val="0"/>
          <w:numId w:val="1039"/>
        </w:numPr>
      </w:pPr>
      <w:r>
        <w:t xml:space="preserve">Ratified by:</w:t>
      </w:r>
      <w:r>
        <w:t xml:space="preserve"> </w:t>
      </w:r>
      <w:r>
        <w:rPr>
          <w:i/>
          <w:iCs/>
        </w:rPr>
        <w:t xml:space="preserve">pending</w:t>
      </w:r>
    </w:p>
    <w:bookmarkEnd w:id="111"/>
    <w:bookmarkEnd w:id="112"/>
    <w:bookmarkStart w:id="120" w:name="X4513760cfa17c4f1d214729c67cb7e3815256c0"/>
    <w:p>
      <w:pPr>
        <w:pStyle w:val="Heading1"/>
      </w:pPr>
      <w:r>
        <w:t xml:space="preserve">ADR-0013 — WebSocket push vs polling for status</w:t>
      </w:r>
    </w:p>
    <w:bookmarkStart w:id="113" w:name="context-10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A job fans out into tasks that resolve over seconds to minutes. The dashboard must show status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updates automatically</w:t>
      </w:r>
      <w:r>
        <w:t xml:space="preserve">”</w:t>
      </w:r>
      <w:r>
        <w:t xml:space="preserve"> </w:t>
      </w:r>
      <w:r>
        <w:t xml:space="preserve">(M-9: &lt; 5 s from change to UI). The system implements WebSocket</w:t>
      </w:r>
      <w:r>
        <w:t xml:space="preserve"> </w:t>
      </w:r>
      <w:r>
        <w:t xml:space="preserve">push (</w:t>
      </w:r>
      <w:r>
        <w:rPr>
          <w:rStyle w:val="VerbatimChar"/>
        </w:rPr>
        <w:t xml:space="preserve">src/ws</w:t>
      </w:r>
      <w:r>
        <w:t xml:space="preserve">) with a polling fallback in the client.</w:t>
      </w:r>
    </w:p>
    <w:bookmarkEnd w:id="113"/>
    <w:bookmarkStart w:id="114" w:name="decision-required-10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How does the browser receive task/job status updates while a job runs?</w:t>
      </w:r>
    </w:p>
    <w:bookmarkEnd w:id="114"/>
    <w:bookmarkStart w:id="118" w:name="alternatives-evaluated-10"/>
    <w:p>
      <w:pPr>
        <w:pStyle w:val="Heading2"/>
      </w:pPr>
      <w:r>
        <w:t xml:space="preserve">Alternatives evaluated</w:t>
      </w:r>
    </w:p>
    <w:bookmarkStart w:id="115" w:name="websocket-push-polling-fallback"/>
    <w:p>
      <w:pPr>
        <w:pStyle w:val="Heading3"/>
      </w:pPr>
      <w:r>
        <w:t xml:space="preserve">1. WebSocket push + polling fallback</w:t>
      </w:r>
    </w:p>
    <w:p>
      <w:pPr>
        <w:pStyle w:val="Compact"/>
        <w:numPr>
          <w:ilvl w:val="0"/>
          <w:numId w:val="1040"/>
        </w:numPr>
      </w:pPr>
      <w:r>
        <w:t xml:space="preserve">Near-real-time updates; meets the &lt; 5 s target comfortably.</w:t>
      </w:r>
    </w:p>
    <w:p>
      <w:pPr>
        <w:pStyle w:val="Compact"/>
        <w:numPr>
          <w:ilvl w:val="0"/>
          <w:numId w:val="1040"/>
        </w:numPr>
      </w:pPr>
      <w:r>
        <w:t xml:space="preserve">Fallback keeps the dashboard correct if the socket drops.</w:t>
      </w:r>
      <w:r>
        <w:t xml:space="preserve"> </w:t>
      </w:r>
      <w:r>
        <w:t xml:space="preserve">− A connection registry and push plumbing to maintain.</w:t>
      </w:r>
    </w:p>
    <w:bookmarkEnd w:id="115"/>
    <w:bookmarkStart w:id="116" w:name="short-polling-only-every-23-s"/>
    <w:p>
      <w:pPr>
        <w:pStyle w:val="Heading3"/>
      </w:pPr>
      <w:r>
        <w:t xml:space="preserve">2. Short polling only (every 2–3 s)</w:t>
      </w:r>
    </w:p>
    <w:p>
      <w:pPr>
        <w:pStyle w:val="Compact"/>
        <w:numPr>
          <w:ilvl w:val="0"/>
          <w:numId w:val="1041"/>
        </w:numPr>
      </w:pPr>
      <w:r>
        <w:t xml:space="preserve">Simplest; one endpoint, no connection state.</w:t>
      </w:r>
      <w:r>
        <w:t xml:space="preserve"> </w:t>
      </w:r>
      <w:r>
        <w:t xml:space="preserve">− Updates lag by the interval; chattiest per unit of information.</w:t>
      </w:r>
    </w:p>
    <w:bookmarkEnd w:id="116"/>
    <w:bookmarkStart w:id="117" w:name="server-sent-events"/>
    <w:p>
      <w:pPr>
        <w:pStyle w:val="Heading3"/>
      </w:pPr>
      <w:r>
        <w:t xml:space="preserve">3. Server-Sent Events</w:t>
      </w:r>
    </w:p>
    <w:p>
      <w:pPr>
        <w:pStyle w:val="Compact"/>
        <w:numPr>
          <w:ilvl w:val="0"/>
          <w:numId w:val="1042"/>
        </w:numPr>
      </w:pPr>
      <w:r>
        <w:t xml:space="preserve">Natural one-way stream.</w:t>
      </w:r>
      <w:r>
        <w:t xml:space="preserve"> </w:t>
      </w:r>
      <w:r>
        <w:t xml:space="preserve">− Buffering/timeout constraints at some edges; less flexible than the chosen combo here.</w:t>
      </w:r>
    </w:p>
    <w:bookmarkEnd w:id="117"/>
    <w:bookmarkEnd w:id="118"/>
    <w:bookmarkStart w:id="119" w:name="decision-10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Option 1: WebSocket push with a polling fallback.</w:t>
      </w:r>
    </w:p>
    <w:p>
      <w:pPr>
        <w:pStyle w:val="Compact"/>
        <w:numPr>
          <w:ilvl w:val="0"/>
          <w:numId w:val="1043"/>
        </w:numPr>
      </w:pPr>
      <w:r>
        <w:t xml:space="preserve">Rationale: delivers live updates for the product’s core screen while degrading gracefully to</w:t>
      </w:r>
      <w:r>
        <w:t xml:space="preserve"> </w:t>
      </w:r>
      <w:r>
        <w:t xml:space="preserve">polling. Correctness never depends on the socket.</w:t>
      </w:r>
    </w:p>
    <w:p>
      <w:pPr>
        <w:pStyle w:val="Compact"/>
        <w:numPr>
          <w:ilvl w:val="0"/>
          <w:numId w:val="1043"/>
        </w:numPr>
      </w:pPr>
      <w:r>
        <w:t xml:space="preserve">Consequence accepted: a connection registry and push path from the status-update code.</w:t>
      </w:r>
    </w:p>
    <w:p>
      <w:pPr>
        <w:pStyle w:val="Compact"/>
        <w:numPr>
          <w:ilvl w:val="0"/>
          <w:numId w:val="1043"/>
        </w:numPr>
      </w:pPr>
      <w:r>
        <w:t xml:space="preserve">Ratified by: Amo Paymon (2026-09-27)</w:t>
      </w:r>
    </w:p>
    <w:bookmarkEnd w:id="119"/>
    <w:bookmarkEnd w:id="120"/>
    <w:bookmarkStart w:id="128" w:name="X79b802fcb6b53d3e7bf71b4777bf72da24830bd"/>
    <w:p>
      <w:pPr>
        <w:pStyle w:val="Heading1"/>
      </w:pPr>
      <w:r>
        <w:t xml:space="preserve">ADR-0014 — Per-user allow/deny access model (OPEN)</w:t>
      </w:r>
    </w:p>
    <w:bookmarkStart w:id="121" w:name="context-1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Today authorization is team-membership based, and job/task endpoints are owner-only. This</w:t>
      </w:r>
      <w:r>
        <w:t xml:space="preserve"> </w:t>
      </w:r>
      <w:r>
        <w:t xml:space="preserve">release must demonstrate that</w:t>
      </w:r>
      <w:r>
        <w:t xml:space="preserve"> </w:t>
      </w:r>
      <w:r>
        <w:rPr>
          <w:b/>
          <w:bCs/>
        </w:rPr>
        <w:t xml:space="preserve">navigation and upload rights differ between users</w:t>
      </w:r>
      <w:r>
        <w:t xml:space="preserve">: two demo</w:t>
      </w:r>
      <w:r>
        <w:t xml:space="preserve"> </w:t>
      </w:r>
      <w:r>
        <w:t xml:space="preserve">users should see different available paths and upload capabilities. The user asked for an</w:t>
      </w:r>
      <w:r>
        <w:t xml:space="preserve"> </w:t>
      </w:r>
      <w:r>
        <w:t xml:space="preserve">arbitrary allow/deny list for now, with a future model driven by the Cognito user pool and a</w:t>
      </w:r>
      <w:r>
        <w:t xml:space="preserve"> </w:t>
      </w:r>
      <w:r>
        <w:t xml:space="preserve">managed access list.</w:t>
      </w:r>
    </w:p>
    <w:bookmarkEnd w:id="121"/>
    <w:bookmarkStart w:id="122" w:name="decision-required-11"/>
    <w:p>
      <w:pPr>
        <w:pStyle w:val="Heading2"/>
      </w:pPr>
      <w:r>
        <w:t xml:space="preserve">Decision required</w:t>
      </w:r>
    </w:p>
    <w:p>
      <w:pPr>
        <w:pStyle w:val="FirstParagraph"/>
      </w:pPr>
      <w:r>
        <w:t xml:space="preserve">How is per-user allow/deny access represented and enforced for this release, and what is the</w:t>
      </w:r>
      <w:r>
        <w:t xml:space="preserve"> </w:t>
      </w:r>
      <w:r>
        <w:t xml:space="preserve">path to the real model?</w:t>
      </w:r>
    </w:p>
    <w:bookmarkEnd w:id="122"/>
    <w:bookmarkStart w:id="126" w:name="alternatives-evaluated-11"/>
    <w:p>
      <w:pPr>
        <w:pStyle w:val="Heading2"/>
      </w:pPr>
      <w:r>
        <w:t xml:space="preserve">Alternatives evaluated</w:t>
      </w:r>
    </w:p>
    <w:bookmarkStart w:id="123" w:name="X465fec02e3a84728bb1279ca469bffae5b85a54"/>
    <w:p>
      <w:pPr>
        <w:pStyle w:val="Heading3"/>
      </w:pPr>
      <w:r>
        <w:t xml:space="preserve">1. Static allow/deny map keyed by Cognito</w:t>
      </w:r>
      <w:r>
        <w:t xml:space="preserve"> </w:t>
      </w:r>
      <w:r>
        <w:rPr>
          <w:rStyle w:val="VerbatimChar"/>
        </w:rPr>
        <w:t xml:space="preserve">sub</w:t>
      </w:r>
      <w:r>
        <w:t xml:space="preserve">/email (config in the app)</w:t>
      </w:r>
    </w:p>
    <w:p>
      <w:pPr>
        <w:pStyle w:val="Compact"/>
        <w:numPr>
          <w:ilvl w:val="0"/>
          <w:numId w:val="1044"/>
        </w:numPr>
      </w:pPr>
      <w:r>
        <w:t xml:space="preserve">Trivial to implement for two demo users; enforced both in the SPA (hide/disable nav + upload)</w:t>
      </w:r>
      <w:r>
        <w:t xml:space="preserve"> </w:t>
      </w:r>
      <w:r>
        <w:t xml:space="preserve">and in the API (authorize upload/job creation).</w:t>
      </w:r>
    </w:p>
    <w:p>
      <w:pPr>
        <w:pStyle w:val="Compact"/>
        <w:numPr>
          <w:ilvl w:val="0"/>
          <w:numId w:val="1044"/>
        </w:numPr>
      </w:pPr>
      <w:r>
        <w:t xml:space="preserve">Clear, inspectable, good enough to illustrate the capability.</w:t>
      </w:r>
      <w:r>
        <w:t xml:space="preserve"> </w:t>
      </w:r>
      <w:r>
        <w:t xml:space="preserve">− Not scalable; editing access means a code/config change and deploy.</w:t>
      </w:r>
      <w:r>
        <w:t xml:space="preserve"> </w:t>
      </w:r>
      <w:r>
        <w:t xml:space="preserve">− Two enforcement points to keep in sync.</w:t>
      </w:r>
    </w:p>
    <w:bookmarkEnd w:id="123"/>
    <w:bookmarkStart w:id="124" w:name="cognito-groups-claims-policy"/>
    <w:p>
      <w:pPr>
        <w:pStyle w:val="Heading3"/>
      </w:pPr>
      <w:r>
        <w:t xml:space="preserve">2. Cognito groups → claims → policy</w:t>
      </w:r>
    </w:p>
    <w:p>
      <w:pPr>
        <w:pStyle w:val="Compact"/>
        <w:numPr>
          <w:ilvl w:val="0"/>
          <w:numId w:val="1045"/>
        </w:numPr>
      </w:pPr>
      <w:r>
        <w:t xml:space="preserve">Uses Cognito as the source of truth; group membership rides in the token.</w:t>
      </w:r>
    </w:p>
    <w:p>
      <w:pPr>
        <w:pStyle w:val="Compact"/>
        <w:numPr>
          <w:ilvl w:val="0"/>
          <w:numId w:val="1045"/>
        </w:numPr>
      </w:pPr>
      <w:r>
        <w:t xml:space="preserve">Scales to real users; no app deploy to change access.</w:t>
      </w:r>
      <w:r>
        <w:t xml:space="preserve"> </w:t>
      </w:r>
      <w:r>
        <w:t xml:space="preserve">− More setup (groups, group-to-permission mapping, token customization) than a two-user demo</w:t>
      </w:r>
      <w:r>
        <w:t xml:space="preserve"> </w:t>
      </w:r>
      <w:r>
        <w:t xml:space="preserve">needs right now.</w:t>
      </w:r>
    </w:p>
    <w:bookmarkEnd w:id="124"/>
    <w:bookmarkStart w:id="125" w:name="X141eb773b46b244a64f58214007fc4e064f573c"/>
    <w:p>
      <w:pPr>
        <w:pStyle w:val="Heading3"/>
      </w:pPr>
      <w:r>
        <w:t xml:space="preserve">3. External policy store (DynamoDB/Postgres) queried per request</w:t>
      </w:r>
    </w:p>
    <w:p>
      <w:pPr>
        <w:pStyle w:val="Compact"/>
        <w:numPr>
          <w:ilvl w:val="0"/>
          <w:numId w:val="1046"/>
        </w:numPr>
      </w:pPr>
      <w:r>
        <w:t xml:space="preserve">Fully dynamic, auditable, admin-manageable.</w:t>
      </w:r>
      <w:r>
        <w:t xml:space="preserve"> </w:t>
      </w:r>
      <w:r>
        <w:t xml:space="preserve">− Heaviest option; unjustified for an illustrative two-user demo.</w:t>
      </w:r>
    </w:p>
    <w:bookmarkEnd w:id="125"/>
    <w:bookmarkEnd w:id="126"/>
    <w:bookmarkStart w:id="127" w:name="decision-11"/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OPEN.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this release</w:t>
      </w:r>
      <w:r>
        <w:t xml:space="preserve">, adopt</w:t>
      </w:r>
      <w:r>
        <w:t xml:space="preserve"> </w:t>
      </w:r>
      <w:r>
        <w:rPr>
          <w:b/>
          <w:bCs/>
        </w:rPr>
        <w:t xml:space="preserve">Option 1</w:t>
      </w:r>
      <w:r>
        <w:t xml:space="preserve">: a static allow/deny map keyed by Cognito</w:t>
      </w:r>
      <w:r>
        <w:t xml:space="preserve"> </w:t>
      </w:r>
      <w:r>
        <w:t xml:space="preserve">identity, enforced in both the SPA (navigation + upload visibility) and the API (upload/job</w:t>
      </w:r>
      <w:r>
        <w:t xml:space="preserve"> </w:t>
      </w:r>
      <w:r>
        <w:t xml:space="preserve">authorization via</w:t>
      </w:r>
      <w:r>
        <w:t xml:space="preserve"> </w:t>
      </w:r>
      <w:r>
        <w:rPr>
          <w:rStyle w:val="VerbatimChar"/>
        </w:rPr>
        <w:t xml:space="preserve">requireUploadAccess</w:t>
      </w:r>
      <w:r>
        <w:t xml:space="preserve">), seeded for two demo users: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user-a</w:t>
      </w:r>
      <w:r>
        <w:t xml:space="preserve">: allow browse + upload (explicit allow entry).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user-b</w:t>
      </w:r>
      <w:r>
        <w:t xml:space="preserve">: allow browse,</w:t>
      </w:r>
      <w:r>
        <w:t xml:space="preserve"> </w:t>
      </w:r>
      <w:r>
        <w:rPr>
          <w:b/>
          <w:bCs/>
        </w:rPr>
        <w:t xml:space="preserve">deny upload</w:t>
      </w:r>
      <w:r>
        <w:t xml:space="preserve"> </w:t>
      </w:r>
      <w:r>
        <w:t xml:space="preserve">(explicit deny entry — demonstrates the deny path).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Default for unlisted authenticated users:</w:t>
      </w:r>
      <w:r>
        <w:t xml:space="preserve"> </w:t>
      </w:r>
      <w:r>
        <w:t xml:space="preserve">allow (browse + upload). This preserves the</w:t>
      </w:r>
      <w:r>
        <w:t xml:space="preserve"> </w:t>
      </w:r>
      <w:r>
        <w:t xml:space="preserve">prior behavior (</w:t>
      </w:r>
      <w:r>
        <w:t xml:space="preserve">“</w:t>
      </w:r>
      <w:r>
        <w:t xml:space="preserve">any authenticated user may upload</w:t>
      </w:r>
      <w:r>
        <w:t xml:space="preserve">”</w:t>
      </w:r>
      <w:r>
        <w:t xml:space="preserve">) and keeps existing tests valid; the deny</w:t>
      </w:r>
      <w:r>
        <w:t xml:space="preserve"> </w:t>
      </w:r>
      <w:r>
        <w:t xml:space="preserve">path is demonstrated by the explicit</w:t>
      </w:r>
      <w:r>
        <w:t xml:space="preserve"> </w:t>
      </w:r>
      <w:r>
        <w:rPr>
          <w:rStyle w:val="VerbatimChar"/>
        </w:rPr>
        <w:t xml:space="preserve">user-b</w:t>
      </w:r>
      <w:r>
        <w:t xml:space="preserve"> </w:t>
      </w:r>
      <w:r>
        <w:t xml:space="preserve">entry rather than by a restrictive default.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implementation/api/src/services/access-control.ts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Long-term</w:t>
      </w:r>
      <w:r>
        <w:t xml:space="preserve"> </w:t>
      </w:r>
      <w:r>
        <w:t xml:space="preserve">(to ratify):</w:t>
      </w:r>
      <w:r>
        <w:t xml:space="preserve"> </w:t>
      </w:r>
      <w:r>
        <w:rPr>
          <w:b/>
          <w:bCs/>
        </w:rPr>
        <w:t xml:space="preserve">Option 2</w:t>
      </w:r>
      <w:r>
        <w:t xml:space="preserve"> </w:t>
      </w:r>
      <w:r>
        <w:t xml:space="preserve">— derive access from Cognito groups/claims plus a</w:t>
      </w:r>
      <w:r>
        <w:t xml:space="preserve"> </w:t>
      </w:r>
      <w:r>
        <w:t xml:space="preserve">managed access list, removing the hardcoded map; a restrictive default may be reconsidered then.</w:t>
      </w:r>
    </w:p>
    <w:p>
      <w:pPr>
        <w:pStyle w:val="Compact"/>
        <w:numPr>
          <w:ilvl w:val="0"/>
          <w:numId w:val="1047"/>
        </w:numPr>
      </w:pPr>
      <w:r>
        <w:t xml:space="preserve">Enforcement exists server-side (</w:t>
      </w:r>
      <w:r>
        <w:rPr>
          <w:rStyle w:val="VerbatimChar"/>
        </w:rPr>
        <w:t xml:space="preserve">requireUploadAccess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); client-side hiding is</w:t>
      </w:r>
      <w:r>
        <w:t xml:space="preserve"> </w:t>
      </w:r>
      <w:r>
        <w:t xml:space="preserve">additive, not the only control. Verified by tests in</w:t>
      </w:r>
      <w:r>
        <w:t xml:space="preserve"> </w:t>
      </w:r>
      <w:r>
        <w:rPr>
          <w:rStyle w:val="VerbatimChar"/>
        </w:rPr>
        <w:t xml:space="preserve">tests/access-control.test.ts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Ratified by: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(interim Option 1 accepted for the demo by Amo Paymon, 2026-09-27)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DR-0003-authentication.md" TargetMode="External" /><Relationship Type="http://schemas.openxmlformats.org/officeDocument/2006/relationships/hyperlink" Id="rId21" Target="ADR-0004-service-decomposition.md" TargetMode="External" /><Relationship Type="http://schemas.openxmlformats.org/officeDocument/2006/relationships/hyperlink" Id="rId22" Target="ADR-0005-worker-compute-model.md" TargetMode="External" /><Relationship Type="http://schemas.openxmlformats.org/officeDocument/2006/relationships/hyperlink" Id="rId23" Target="ADR-0006-task-queue.md" TargetMode="External" /><Relationship Type="http://schemas.openxmlformats.org/officeDocument/2006/relationships/hyperlink" Id="rId24" Target="ADR-0007-iac-tooling.md" TargetMode="External" /><Relationship Type="http://schemas.openxmlformats.org/officeDocument/2006/relationships/hyperlink" Id="rId25" Target="ADR-0008-database.md" TargetMode="External" /><Relationship Type="http://schemas.openxmlformats.org/officeDocument/2006/relationships/hyperlink" Id="rId26" Target="ADR-0009-encryption-at-rest.md" TargetMode="External" /><Relationship Type="http://schemas.openxmlformats.org/officeDocument/2006/relationships/hyperlink" Id="rId27" Target="ADR-0010-routing-store.md" TargetMode="External" /><Relationship Type="http://schemas.openxmlformats.org/officeDocument/2006/relationships/hyperlink" Id="rId28" Target="ADR-0011-dev-prod-pipelines.md" TargetMode="External" /><Relationship Type="http://schemas.openxmlformats.org/officeDocument/2006/relationships/hyperlink" Id="rId29" Target="ADR-0012-frontend-config-secrets.md" TargetMode="External" /><Relationship Type="http://schemas.openxmlformats.org/officeDocument/2006/relationships/hyperlink" Id="rId30" Target="ADR-0013-status-delivery.md" TargetMode="External" /><Relationship Type="http://schemas.openxmlformats.org/officeDocument/2006/relationships/hyperlink" Id="rId31" Target="ADR-0014-access-control-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DR-0003-authentication.md" TargetMode="External" /><Relationship Type="http://schemas.openxmlformats.org/officeDocument/2006/relationships/hyperlink" Id="rId21" Target="ADR-0004-service-decomposition.md" TargetMode="External" /><Relationship Type="http://schemas.openxmlformats.org/officeDocument/2006/relationships/hyperlink" Id="rId22" Target="ADR-0005-worker-compute-model.md" TargetMode="External" /><Relationship Type="http://schemas.openxmlformats.org/officeDocument/2006/relationships/hyperlink" Id="rId23" Target="ADR-0006-task-queue.md" TargetMode="External" /><Relationship Type="http://schemas.openxmlformats.org/officeDocument/2006/relationships/hyperlink" Id="rId24" Target="ADR-0007-iac-tooling.md" TargetMode="External" /><Relationship Type="http://schemas.openxmlformats.org/officeDocument/2006/relationships/hyperlink" Id="rId25" Target="ADR-0008-database.md" TargetMode="External" /><Relationship Type="http://schemas.openxmlformats.org/officeDocument/2006/relationships/hyperlink" Id="rId26" Target="ADR-0009-encryption-at-rest.md" TargetMode="External" /><Relationship Type="http://schemas.openxmlformats.org/officeDocument/2006/relationships/hyperlink" Id="rId27" Target="ADR-0010-routing-store.md" TargetMode="External" /><Relationship Type="http://schemas.openxmlformats.org/officeDocument/2006/relationships/hyperlink" Id="rId28" Target="ADR-0011-dev-prod-pipelines.md" TargetMode="External" /><Relationship Type="http://schemas.openxmlformats.org/officeDocument/2006/relationships/hyperlink" Id="rId29" Target="ADR-0012-frontend-config-secrets.md" TargetMode="External" /><Relationship Type="http://schemas.openxmlformats.org/officeDocument/2006/relationships/hyperlink" Id="rId30" Target="ADR-0013-status-delivery.md" TargetMode="External" /><Relationship Type="http://schemas.openxmlformats.org/officeDocument/2006/relationships/hyperlink" Id="rId31" Target="ADR-0014-access-control-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DocBridge — Architecture Decision Records</dc:title>
  <dc:creator/>
  <cp:keywords/>
  <dcterms:created xsi:type="dcterms:W3CDTF">2026-09-27T10:05:59Z</dcterms:created>
  <dcterms:modified xsi:type="dcterms:W3CDTF">2026-09-27T10:05:59Z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