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433DB"/>
    <w:p w14:paraId="17BBDDFB"/>
    <w:p w14:paraId="4300EC1C"/>
    <w:p w14:paraId="325DB110">
      <w:pPr>
        <w:jc w:val="center"/>
      </w:pPr>
      <w:r>
        <w:rPr>
          <w:rFonts w:ascii="微软雅黑" w:hAnsi="微软雅黑" w:eastAsia="微软雅黑"/>
          <w:b/>
          <w:color w:val="2F54EB"/>
          <w:sz w:val="60"/>
        </w:rPr>
        <w:t>CityRenew Agent</w:t>
      </w:r>
    </w:p>
    <w:p w14:paraId="0082278A">
      <w:pPr>
        <w:jc w:val="center"/>
      </w:pPr>
      <w:r>
        <w:rPr>
          <w:rFonts w:ascii="微软雅黑" w:hAnsi="微软雅黑" w:eastAsia="微软雅黑"/>
          <w:b/>
          <w:color w:val="1F2937"/>
          <w:sz w:val="40"/>
        </w:rPr>
        <w:t>城市更新前期策划智能体</w:t>
      </w:r>
    </w:p>
    <w:p w14:paraId="3E8BAFBA"/>
    <w:p w14:paraId="6D72B580">
      <w:pPr>
        <w:jc w:val="center"/>
      </w:pPr>
      <w:r>
        <w:rPr>
          <w:rFonts w:ascii="微软雅黑" w:hAnsi="微软雅黑" w:eastAsia="微软雅黑"/>
          <w:color w:val="1F2937"/>
          <w:sz w:val="44"/>
        </w:rPr>
        <w:t>产 品 使 用 说 明 书</w:t>
      </w:r>
    </w:p>
    <w:p w14:paraId="319055D6"/>
    <w:p w14:paraId="28D252FE"/>
    <w:p w14:paraId="2A65CDB5">
      <w:pPr>
        <w:jc w:val="center"/>
      </w:pPr>
      <w:r>
        <w:rPr>
          <w:rFonts w:ascii="微软雅黑" w:hAnsi="微软雅黑" w:eastAsia="微软雅黑"/>
          <w:color w:val="6B7280"/>
          <w:sz w:val="24"/>
        </w:rPr>
        <w:t>以自然语言对话完成城市更新前期策划报告的智能体产品</w:t>
      </w:r>
    </w:p>
    <w:p w14:paraId="3D011D17"/>
    <w:p w14:paraId="638646FA"/>
    <w:p w14:paraId="1A5800FE"/>
    <w:p w14:paraId="42CC95C1"/>
    <w:p w14:paraId="0444F8EB"/>
    <w:p w14:paraId="34187E0A"/>
    <w:p w14:paraId="75E480AD">
      <w:pPr>
        <w:jc w:val="center"/>
      </w:pPr>
      <w:r>
        <w:rPr>
          <w:rFonts w:ascii="微软雅黑" w:hAnsi="微软雅黑" w:eastAsia="微软雅黑"/>
          <w:color w:val="1F2937"/>
          <w:sz w:val="22"/>
        </w:rPr>
        <w:t>产品名称：CityRenew Agent 城市更新前期策划智能体</w:t>
      </w:r>
    </w:p>
    <w:p w14:paraId="094C4038">
      <w:pPr>
        <w:jc w:val="center"/>
      </w:pPr>
      <w:r>
        <w:rPr>
          <w:rFonts w:ascii="微软雅黑" w:hAnsi="微软雅黑" w:eastAsia="微软雅黑"/>
          <w:color w:val="1F2937"/>
          <w:sz w:val="22"/>
        </w:rPr>
        <w:t>文档类型：产品使用说明书</w:t>
      </w:r>
    </w:p>
    <w:p w14:paraId="5129494E">
      <w:pPr>
        <w:jc w:val="center"/>
      </w:pPr>
      <w:r>
        <w:rPr>
          <w:rFonts w:ascii="微软雅黑" w:hAnsi="微软雅黑" w:eastAsia="微软雅黑"/>
          <w:color w:val="1F2937"/>
          <w:sz w:val="22"/>
        </w:rPr>
        <w:t>适用对象：城市更新策划与前期研究人员 / 评审与体验用户</w:t>
      </w:r>
    </w:p>
    <w:p w14:paraId="11B8EA85">
      <w:r>
        <w:br w:type="page"/>
      </w:r>
    </w:p>
    <w:p w14:paraId="6D706D63">
      <w:pPr>
        <w:spacing w:after="240"/>
        <w:jc w:val="center"/>
      </w:pPr>
      <w:r>
        <w:rPr>
          <w:rFonts w:ascii="微软雅黑" w:hAnsi="微软雅黑" w:eastAsia="微软雅黑"/>
          <w:b/>
          <w:color w:val="2F54EB"/>
          <w:sz w:val="36"/>
        </w:rPr>
        <w:t>目  录</w:t>
      </w:r>
    </w:p>
    <w:p w14:paraId="04C2804C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1. 产品简介</w:t>
      </w:r>
    </w:p>
    <w:p w14:paraId="389E6A26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2. 适用用户</w:t>
      </w:r>
    </w:p>
    <w:p w14:paraId="3B5D10FE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3. 核心功能概览</w:t>
      </w:r>
    </w:p>
    <w:p w14:paraId="637872D4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4. 使用流程总览</w:t>
      </w:r>
    </w:p>
    <w:p w14:paraId="357780C6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5. 进入系统与新建对话</w:t>
      </w:r>
    </w:p>
    <w:p w14:paraId="1D9284D5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6. 输入项目基础信息</w:t>
      </w:r>
    </w:p>
    <w:p w14:paraId="52A64ECF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7. 上传项目资料</w:t>
      </w:r>
    </w:p>
    <w:p w14:paraId="7B98C4FE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8. 智能体项目研判</w:t>
      </w:r>
    </w:p>
    <w:p w14:paraId="3081A666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9. 信息不足时的主动追问</w:t>
      </w:r>
    </w:p>
    <w:p w14:paraId="2ED4B07D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10. 生成城市更新前期策划报告</w:t>
      </w:r>
    </w:p>
    <w:p w14:paraId="4616A0AE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11. 报告预览、复制、下载与导出</w:t>
      </w:r>
    </w:p>
    <w:p w14:paraId="04F928EB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12. 历史会话管理</w:t>
      </w:r>
    </w:p>
    <w:p w14:paraId="618BDAEF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13. 推荐使用方式</w:t>
      </w:r>
    </w:p>
    <w:p w14:paraId="271592F2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14. 常见问题</w:t>
      </w:r>
    </w:p>
    <w:p w14:paraId="42D2A845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15. 注意事项</w:t>
      </w:r>
    </w:p>
    <w:p w14:paraId="2DC5B28E">
      <w:pPr>
        <w:spacing w:after="100" w:line="336" w:lineRule="auto"/>
      </w:pPr>
      <w:r>
        <w:rPr>
          <w:rFonts w:ascii="微软雅黑" w:hAnsi="微软雅黑" w:eastAsia="微软雅黑"/>
          <w:color w:val="1F2937"/>
          <w:sz w:val="23"/>
        </w:rPr>
        <w:t>16. 产品使用闭环总结</w:t>
      </w:r>
    </w:p>
    <w:p w14:paraId="617AEB24">
      <w:r>
        <w:br w:type="page"/>
      </w:r>
    </w:p>
    <w:p w14:paraId="65C8F6FA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1. 产品简介</w:t>
      </w:r>
    </w:p>
    <w:p w14:paraId="4A15CC37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CityRenew Agent 是一款面向城市更新前期策划场景的智能体产品。用户只需通过自然语言输入项目所在位置、现状问题、更新目标，并按需补充项目资料，系统即可自动完成项目初步研判、区位与客群分析、房价与产业诊断、更新类型判断与策略建议生成，并输出一份标准格式的城市更新前期策划报告。</w:t>
      </w:r>
    </w:p>
    <w:p w14:paraId="158934C0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与普通问答工具不同，CityRenew Agent 以“对话即工作流”的方式，把繁琐的多源资料整理、现状研判与报告撰写串联成一次连贯的智能服务。用户无需自行汇总数据、套用模板，只要把项目讲清楚，就能得到结构完整、可预览、可下载、可导出的前期策划报告，显著提升前期策划的效率与一致性。</w:t>
      </w:r>
    </w:p>
    <w:p w14:paraId="7A8C8FEA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当用户提供的信息不足时，系统会主动追问关键要素；当某些数据暂时无法覆盖时，系统会据实标注，不臆造数据，保障报告内容的可用性与可靠性。</w:t>
      </w:r>
    </w:p>
    <w:p w14:paraId="7E3A42DD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2. 适用用户</w:t>
      </w:r>
    </w:p>
    <w:p w14:paraId="3CFC92B0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CityRenew Agent 适用于参与城市更新前期工作的多类用户：</w:t>
      </w:r>
    </w:p>
    <w:p w14:paraId="58CAC454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城市更新项目策划人员；</w:t>
      </w:r>
    </w:p>
    <w:p w14:paraId="69E41389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前期研究与投拓人员；</w:t>
      </w:r>
    </w:p>
    <w:p w14:paraId="618817AC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规划咨询与设计团队；</w:t>
      </w:r>
    </w:p>
    <w:p w14:paraId="1A2A1B4C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政府、园区、街镇相关业务人员；</w:t>
      </w:r>
    </w:p>
    <w:p w14:paraId="72B21F98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比赛评审或演示体验用户。</w:t>
      </w:r>
    </w:p>
    <w:p w14:paraId="368D6D91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3. 核心功能概览</w:t>
      </w:r>
    </w:p>
    <w:p w14:paraId="4D78B8E6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下表概括了 CityRenew Agent 的核心功能模块与使用结果：</w:t>
      </w:r>
    </w:p>
    <w:tbl>
      <w:tblPr>
        <w:tblStyle w:val="33"/>
        <w:tblW w:w="0" w:type="auto"/>
        <w:jc w:val="center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2268"/>
      </w:tblGrid>
      <w:tr w14:paraId="6D9D7428">
        <w:trPr>
          <w:jc w:val="center"/>
        </w:trPr>
        <w:tc>
          <w:tcPr>
            <w:tcW w:w="1814" w:type="dxa"/>
            <w:shd w:val="clear" w:color="auto" w:fill="2F54EB"/>
          </w:tcPr>
          <w:p w14:paraId="295D6A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功能模块</w:t>
            </w:r>
          </w:p>
        </w:tc>
        <w:tc>
          <w:tcPr>
            <w:tcW w:w="3969" w:type="dxa"/>
            <w:shd w:val="clear" w:color="auto" w:fill="2F54EB"/>
          </w:tcPr>
          <w:p w14:paraId="5E6F1E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  <w:tc>
          <w:tcPr>
            <w:tcW w:w="2268" w:type="dxa"/>
            <w:shd w:val="clear" w:color="auto" w:fill="2F54EB"/>
          </w:tcPr>
          <w:p w14:paraId="37E0D8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使用结果</w:t>
            </w:r>
          </w:p>
        </w:tc>
      </w:tr>
      <w:tr w14:paraId="38ABA4EB">
        <w:trPr>
          <w:jc w:val="center"/>
        </w:trPr>
        <w:tc>
          <w:tcPr>
            <w:tcW w:w="1814" w:type="dxa"/>
            <w:shd w:val="clear" w:color="auto" w:fill="FFFFFF"/>
          </w:tcPr>
          <w:p w14:paraId="5DB594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智能体对话</w:t>
            </w:r>
          </w:p>
        </w:tc>
        <w:tc>
          <w:tcPr>
            <w:tcW w:w="3969" w:type="dxa"/>
            <w:shd w:val="clear" w:color="auto" w:fill="FFFFFF"/>
          </w:tcPr>
          <w:p w14:paraId="47856D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用户用自然语言描述项目需求，系统主动追问并给出研判</w:t>
            </w:r>
          </w:p>
        </w:tc>
        <w:tc>
          <w:tcPr>
            <w:tcW w:w="2268" w:type="dxa"/>
            <w:shd w:val="clear" w:color="auto" w:fill="FFFFFF"/>
          </w:tcPr>
          <w:p w14:paraId="290A95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得到项目初判与下一步建议</w:t>
            </w:r>
          </w:p>
        </w:tc>
      </w:tr>
      <w:tr w14:paraId="5C26A8AA">
        <w:trPr>
          <w:jc w:val="center"/>
        </w:trPr>
        <w:tc>
          <w:tcPr>
            <w:tcW w:w="1814" w:type="dxa"/>
            <w:shd w:val="clear" w:color="auto" w:fill="F4F6FB"/>
          </w:tcPr>
          <w:p w14:paraId="2C037C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项目资料上传</w:t>
            </w:r>
          </w:p>
        </w:tc>
        <w:tc>
          <w:tcPr>
            <w:tcW w:w="3969" w:type="dxa"/>
            <w:shd w:val="clear" w:color="auto" w:fill="F4F6FB"/>
          </w:tcPr>
          <w:p w14:paraId="05524C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支持上传项目资料、说明文档、表格、图片等</w:t>
            </w:r>
          </w:p>
        </w:tc>
        <w:tc>
          <w:tcPr>
            <w:tcW w:w="2268" w:type="dxa"/>
            <w:shd w:val="clear" w:color="auto" w:fill="F4F6FB"/>
          </w:tcPr>
          <w:p w14:paraId="2CFE82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补充项目背景与现状信息</w:t>
            </w:r>
          </w:p>
        </w:tc>
      </w:tr>
      <w:tr w14:paraId="3C1BDFC9">
        <w:trPr>
          <w:jc w:val="center"/>
        </w:trPr>
        <w:tc>
          <w:tcPr>
            <w:tcW w:w="1814" w:type="dxa"/>
            <w:shd w:val="clear" w:color="auto" w:fill="FFFFFF"/>
          </w:tcPr>
          <w:p w14:paraId="3F874D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项目综合研判</w:t>
            </w:r>
          </w:p>
        </w:tc>
        <w:tc>
          <w:tcPr>
            <w:tcW w:w="3969" w:type="dxa"/>
            <w:shd w:val="clear" w:color="auto" w:fill="FFFFFF"/>
          </w:tcPr>
          <w:p w14:paraId="2D8E28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分析区位、配套、人口、房价、产业、更新潜力</w:t>
            </w:r>
          </w:p>
        </w:tc>
        <w:tc>
          <w:tcPr>
            <w:tcW w:w="2268" w:type="dxa"/>
            <w:shd w:val="clear" w:color="auto" w:fill="FFFFFF"/>
          </w:tcPr>
          <w:p w14:paraId="705778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输出结构化研判结果</w:t>
            </w:r>
          </w:p>
        </w:tc>
      </w:tr>
      <w:tr w14:paraId="17355939">
        <w:trPr>
          <w:jc w:val="center"/>
        </w:trPr>
        <w:tc>
          <w:tcPr>
            <w:tcW w:w="1814" w:type="dxa"/>
            <w:shd w:val="clear" w:color="auto" w:fill="F4F6FB"/>
          </w:tcPr>
          <w:p w14:paraId="0A9338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更新方向判断</w:t>
            </w:r>
          </w:p>
        </w:tc>
        <w:tc>
          <w:tcPr>
            <w:tcW w:w="3969" w:type="dxa"/>
            <w:shd w:val="clear" w:color="auto" w:fill="F4F6FB"/>
          </w:tcPr>
          <w:p w14:paraId="05E9340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判断项目更适合的城市更新类型</w:t>
            </w:r>
          </w:p>
        </w:tc>
        <w:tc>
          <w:tcPr>
            <w:tcW w:w="2268" w:type="dxa"/>
            <w:shd w:val="clear" w:color="auto" w:fill="F4F6FB"/>
          </w:tcPr>
          <w:p w14:paraId="2826DE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得到更新类型与理由</w:t>
            </w:r>
          </w:p>
        </w:tc>
      </w:tr>
      <w:tr w14:paraId="1035FCA0">
        <w:trPr>
          <w:jc w:val="center"/>
        </w:trPr>
        <w:tc>
          <w:tcPr>
            <w:tcW w:w="1814" w:type="dxa"/>
            <w:shd w:val="clear" w:color="auto" w:fill="FFFFFF"/>
          </w:tcPr>
          <w:p w14:paraId="5BF821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策略建议生成</w:t>
            </w:r>
          </w:p>
        </w:tc>
        <w:tc>
          <w:tcPr>
            <w:tcW w:w="3969" w:type="dxa"/>
            <w:shd w:val="clear" w:color="auto" w:fill="FFFFFF"/>
          </w:tcPr>
          <w:p w14:paraId="6F0873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给出更新策略、重点方向和风险提示</w:t>
            </w:r>
          </w:p>
        </w:tc>
        <w:tc>
          <w:tcPr>
            <w:tcW w:w="2268" w:type="dxa"/>
            <w:shd w:val="clear" w:color="auto" w:fill="FFFFFF"/>
          </w:tcPr>
          <w:p w14:paraId="754A5F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支撑前策方案形成</w:t>
            </w:r>
          </w:p>
        </w:tc>
      </w:tr>
      <w:tr w14:paraId="2C7F24AF">
        <w:trPr>
          <w:jc w:val="center"/>
        </w:trPr>
        <w:tc>
          <w:tcPr>
            <w:tcW w:w="1814" w:type="dxa"/>
            <w:shd w:val="clear" w:color="auto" w:fill="F4F6FB"/>
          </w:tcPr>
          <w:p w14:paraId="568540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报告生成</w:t>
            </w:r>
          </w:p>
        </w:tc>
        <w:tc>
          <w:tcPr>
            <w:tcW w:w="3969" w:type="dxa"/>
            <w:shd w:val="clear" w:color="auto" w:fill="F4F6FB"/>
          </w:tcPr>
          <w:p w14:paraId="661396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根据项目分析结果生成前期策划报告</w:t>
            </w:r>
          </w:p>
        </w:tc>
        <w:tc>
          <w:tcPr>
            <w:tcW w:w="2268" w:type="dxa"/>
            <w:shd w:val="clear" w:color="auto" w:fill="F4F6FB"/>
          </w:tcPr>
          <w:p w14:paraId="3C0244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形成正式报告内容</w:t>
            </w:r>
          </w:p>
        </w:tc>
      </w:tr>
      <w:tr w14:paraId="12174F2E">
        <w:trPr>
          <w:jc w:val="center"/>
        </w:trPr>
        <w:tc>
          <w:tcPr>
            <w:tcW w:w="1814" w:type="dxa"/>
            <w:shd w:val="clear" w:color="auto" w:fill="FFFFFF"/>
          </w:tcPr>
          <w:p w14:paraId="654D85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Word / PDF 导出</w:t>
            </w:r>
          </w:p>
        </w:tc>
        <w:tc>
          <w:tcPr>
            <w:tcW w:w="3969" w:type="dxa"/>
            <w:shd w:val="clear" w:color="auto" w:fill="FFFFFF"/>
          </w:tcPr>
          <w:p w14:paraId="691A95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支持报告预览、复制、下载 Word、导出 PDF</w:t>
            </w:r>
          </w:p>
        </w:tc>
        <w:tc>
          <w:tcPr>
            <w:tcW w:w="2268" w:type="dxa"/>
            <w:shd w:val="clear" w:color="auto" w:fill="FFFFFF"/>
          </w:tcPr>
          <w:p w14:paraId="6E719F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便于提交、汇报和存档</w:t>
            </w:r>
          </w:p>
        </w:tc>
      </w:tr>
      <w:tr w14:paraId="5F95F31E">
        <w:trPr>
          <w:jc w:val="center"/>
        </w:trPr>
        <w:tc>
          <w:tcPr>
            <w:tcW w:w="1814" w:type="dxa"/>
            <w:shd w:val="clear" w:color="auto" w:fill="F4F6FB"/>
          </w:tcPr>
          <w:p w14:paraId="03843B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历史会话管理</w:t>
            </w:r>
          </w:p>
        </w:tc>
        <w:tc>
          <w:tcPr>
            <w:tcW w:w="3969" w:type="dxa"/>
            <w:shd w:val="clear" w:color="auto" w:fill="F4F6FB"/>
          </w:tcPr>
          <w:p w14:paraId="130887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支持查看、重命名、删除、置顶、归档历史会话</w:t>
            </w:r>
          </w:p>
        </w:tc>
        <w:tc>
          <w:tcPr>
            <w:tcW w:w="2268" w:type="dxa"/>
            <w:shd w:val="clear" w:color="auto" w:fill="F4F6FB"/>
          </w:tcPr>
          <w:p w14:paraId="323875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便于管理多个项目</w:t>
            </w:r>
          </w:p>
        </w:tc>
      </w:tr>
    </w:tbl>
    <w:p w14:paraId="7D70D0BB">
      <w:pPr>
        <w:spacing w:after="40"/>
      </w:pPr>
    </w:p>
    <w:p w14:paraId="49AD1B08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4. 使用流程总览</w:t>
      </w:r>
    </w:p>
    <w:p w14:paraId="639BDB41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用户使用 CityRenew Agent 完成一份城市更新前期策划报告，通常经过以下步骤：</w:t>
      </w:r>
    </w:p>
    <w:p w14:paraId="2074AD12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打开 CityRenew Agent；</w:t>
      </w:r>
    </w:p>
    <w:p w14:paraId="18A568D9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新建对话；</w:t>
      </w:r>
    </w:p>
    <w:p w14:paraId="25234B87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输入项目位置、项目名称或地块描述；</w:t>
      </w:r>
    </w:p>
    <w:p w14:paraId="52B8B68B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补充现状问题、更新诉求和目标方向；</w:t>
      </w:r>
    </w:p>
    <w:p w14:paraId="7BBB7289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上传相关项目资料；</w:t>
      </w:r>
    </w:p>
    <w:p w14:paraId="3F7A8694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智能体进行项目研判；</w:t>
      </w:r>
    </w:p>
    <w:p w14:paraId="0B962D34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根据提示继续补充信息或生成报告；</w:t>
      </w:r>
    </w:p>
    <w:p w14:paraId="4FF28A84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预览报告；</w:t>
      </w:r>
    </w:p>
    <w:p w14:paraId="78A0AA06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下载 Word 或导出 PDF；</w:t>
      </w:r>
    </w:p>
    <w:p w14:paraId="09A3A91C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根据需要继续优化报告内容。</w:t>
      </w:r>
    </w:p>
    <w:p w14:paraId="472E4802">
      <w:pPr>
        <w:spacing w:after="12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整体流程可概括为下方横向流程图：</w:t>
      </w:r>
    </w:p>
    <w:tbl>
      <w:tblPr>
        <w:tblStyle w:val="32"/>
        <w:tblW w:w="0" w:type="auto"/>
        <w:jc w:val="center"/>
        <w:tblBorders>
          <w:top w:val="single" w:color="C7D2FE" w:sz="6" w:space="0"/>
          <w:left w:val="single" w:color="C7D2FE" w:sz="6" w:space="0"/>
          <w:bottom w:val="single" w:color="C7D2FE" w:sz="6" w:space="0"/>
          <w:right w:val="single" w:color="C7D2FE" w:sz="6" w:space="0"/>
          <w:insideH w:val="single" w:color="C7D2FE" w:sz="6" w:space="0"/>
          <w:insideV w:val="single" w:color="C7D2F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829"/>
        <w:gridCol w:w="827"/>
        <w:gridCol w:w="829"/>
        <w:gridCol w:w="827"/>
        <w:gridCol w:w="829"/>
        <w:gridCol w:w="827"/>
        <w:gridCol w:w="829"/>
        <w:gridCol w:w="828"/>
        <w:gridCol w:w="830"/>
        <w:gridCol w:w="1226"/>
      </w:tblGrid>
      <w:tr w14:paraId="5545A3A8">
        <w:trPr>
          <w:jc w:val="center"/>
        </w:trPr>
        <w:tc>
          <w:tcPr>
            <w:tcW w:w="845" w:type="dxa"/>
            <w:shd w:val="clear" w:color="auto" w:fill="EAF0FF"/>
          </w:tcPr>
          <w:p w14:paraId="2D7D9D82">
            <w:pPr>
              <w:jc w:val="center"/>
            </w:pPr>
            <w:r>
              <w:rPr>
                <w:rFonts w:ascii="微软雅黑" w:hAnsi="微软雅黑" w:eastAsia="微软雅黑"/>
                <w:b/>
                <w:color w:val="2F54EB"/>
                <w:sz w:val="20"/>
              </w:rPr>
              <w:t>输入项目</w:t>
            </w:r>
          </w:p>
        </w:tc>
        <w:tc>
          <w:tcPr>
            <w:tcW w:w="845" w:type="dxa"/>
          </w:tcPr>
          <w:p w14:paraId="0F465456">
            <w:pPr>
              <w:jc w:val="center"/>
            </w:pPr>
            <w:r>
              <w:rPr>
                <w:rFonts w:ascii="微软雅黑" w:hAnsi="微软雅黑" w:eastAsia="微软雅黑"/>
                <w:b/>
                <w:color w:val="6B7280"/>
                <w:sz w:val="24"/>
              </w:rPr>
              <w:t>→</w:t>
            </w:r>
          </w:p>
        </w:tc>
        <w:tc>
          <w:tcPr>
            <w:tcW w:w="845" w:type="dxa"/>
            <w:shd w:val="clear" w:color="auto" w:fill="EAF0FF"/>
          </w:tcPr>
          <w:p w14:paraId="23807B7E">
            <w:pPr>
              <w:jc w:val="center"/>
            </w:pPr>
            <w:r>
              <w:rPr>
                <w:rFonts w:ascii="微软雅黑" w:hAnsi="微软雅黑" w:eastAsia="微软雅黑"/>
                <w:b/>
                <w:color w:val="2F54EB"/>
                <w:sz w:val="20"/>
              </w:rPr>
              <w:t>补充资料</w:t>
            </w:r>
          </w:p>
        </w:tc>
        <w:tc>
          <w:tcPr>
            <w:tcW w:w="845" w:type="dxa"/>
          </w:tcPr>
          <w:p w14:paraId="76C3D1B9">
            <w:pPr>
              <w:jc w:val="center"/>
            </w:pPr>
            <w:r>
              <w:rPr>
                <w:rFonts w:ascii="微软雅黑" w:hAnsi="微软雅黑" w:eastAsia="微软雅黑"/>
                <w:b/>
                <w:color w:val="6B7280"/>
                <w:sz w:val="24"/>
              </w:rPr>
              <w:t>→</w:t>
            </w:r>
          </w:p>
        </w:tc>
        <w:tc>
          <w:tcPr>
            <w:tcW w:w="845" w:type="dxa"/>
            <w:shd w:val="clear" w:color="auto" w:fill="EAF0FF"/>
          </w:tcPr>
          <w:p w14:paraId="191554A1">
            <w:pPr>
              <w:jc w:val="center"/>
            </w:pPr>
            <w:r>
              <w:rPr>
                <w:rFonts w:ascii="微软雅黑" w:hAnsi="微软雅黑" w:eastAsia="微软雅黑"/>
                <w:b/>
                <w:color w:val="2F54EB"/>
                <w:sz w:val="20"/>
              </w:rPr>
              <w:t>智能研判</w:t>
            </w:r>
          </w:p>
        </w:tc>
        <w:tc>
          <w:tcPr>
            <w:tcW w:w="845" w:type="dxa"/>
          </w:tcPr>
          <w:p w14:paraId="146A01FE">
            <w:pPr>
              <w:jc w:val="center"/>
            </w:pPr>
            <w:r>
              <w:rPr>
                <w:rFonts w:ascii="微软雅黑" w:hAnsi="微软雅黑" w:eastAsia="微软雅黑"/>
                <w:b/>
                <w:color w:val="6B7280"/>
                <w:sz w:val="24"/>
              </w:rPr>
              <w:t>→</w:t>
            </w:r>
          </w:p>
        </w:tc>
        <w:tc>
          <w:tcPr>
            <w:tcW w:w="845" w:type="dxa"/>
            <w:shd w:val="clear" w:color="auto" w:fill="EAF0FF"/>
          </w:tcPr>
          <w:p w14:paraId="2CD4817A">
            <w:pPr>
              <w:jc w:val="center"/>
            </w:pPr>
            <w:r>
              <w:rPr>
                <w:rFonts w:ascii="微软雅黑" w:hAnsi="微软雅黑" w:eastAsia="微软雅黑"/>
                <w:b/>
                <w:color w:val="2F54EB"/>
                <w:sz w:val="20"/>
              </w:rPr>
              <w:t>生成报告</w:t>
            </w:r>
          </w:p>
        </w:tc>
        <w:tc>
          <w:tcPr>
            <w:tcW w:w="845" w:type="dxa"/>
          </w:tcPr>
          <w:p w14:paraId="2FF475D1">
            <w:pPr>
              <w:jc w:val="center"/>
            </w:pPr>
            <w:r>
              <w:rPr>
                <w:rFonts w:ascii="微软雅黑" w:hAnsi="微软雅黑" w:eastAsia="微软雅黑"/>
                <w:b/>
                <w:color w:val="6B7280"/>
                <w:sz w:val="24"/>
              </w:rPr>
              <w:t>→</w:t>
            </w:r>
          </w:p>
        </w:tc>
        <w:tc>
          <w:tcPr>
            <w:tcW w:w="845" w:type="dxa"/>
            <w:shd w:val="clear" w:color="auto" w:fill="EAF0FF"/>
          </w:tcPr>
          <w:p w14:paraId="4EE77BD5">
            <w:pPr>
              <w:jc w:val="center"/>
            </w:pPr>
            <w:r>
              <w:rPr>
                <w:rFonts w:ascii="微软雅黑" w:hAnsi="微软雅黑" w:eastAsia="微软雅黑"/>
                <w:b/>
                <w:color w:val="2F54EB"/>
                <w:sz w:val="20"/>
              </w:rPr>
              <w:t>预览报告</w:t>
            </w:r>
          </w:p>
        </w:tc>
        <w:tc>
          <w:tcPr>
            <w:tcW w:w="845" w:type="dxa"/>
          </w:tcPr>
          <w:p w14:paraId="7F317199">
            <w:pPr>
              <w:jc w:val="center"/>
            </w:pPr>
            <w:r>
              <w:rPr>
                <w:rFonts w:ascii="微软雅黑" w:hAnsi="微软雅黑" w:eastAsia="微软雅黑"/>
                <w:b/>
                <w:color w:val="6B7280"/>
                <w:sz w:val="24"/>
              </w:rPr>
              <w:t>→</w:t>
            </w:r>
          </w:p>
        </w:tc>
        <w:tc>
          <w:tcPr>
            <w:tcW w:w="845" w:type="dxa"/>
            <w:shd w:val="clear" w:color="auto" w:fill="EAF0FF"/>
          </w:tcPr>
          <w:p w14:paraId="00BFEAC2">
            <w:pPr>
              <w:jc w:val="center"/>
            </w:pPr>
            <w:r>
              <w:rPr>
                <w:rFonts w:ascii="微软雅黑" w:hAnsi="微软雅黑" w:eastAsia="微软雅黑"/>
                <w:b/>
                <w:color w:val="2F54EB"/>
                <w:sz w:val="20"/>
              </w:rPr>
              <w:t>导出 Word/PDF</w:t>
            </w:r>
          </w:p>
        </w:tc>
      </w:tr>
    </w:tbl>
    <w:p w14:paraId="3AD14F4D">
      <w:pPr>
        <w:spacing w:after="40"/>
      </w:pPr>
    </w:p>
    <w:p w14:paraId="41DA2166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5. 进入系统与新建对话</w:t>
      </w:r>
    </w:p>
    <w:p w14:paraId="0C79F40C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进入系统后，界面左侧为会话列表，中间为智能体对话区。用户可以点击左侧的“新建对话”，开始一个新的城市更新项目咨询。</w:t>
      </w:r>
    </w:p>
    <w:p w14:paraId="001DA8BC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6493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图1：系统首页与新建对话入口</w:t>
      </w:r>
    </w:p>
    <w:p w14:paraId="3BD973B9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使用建议：</w:t>
      </w:r>
    </w:p>
    <w:p w14:paraId="3B440C37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“新建对话”适合开始一个新的项目；</w:t>
      </w:r>
    </w:p>
    <w:p w14:paraId="77B672AA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历史会话用于继续之前的项目；</w:t>
      </w:r>
    </w:p>
    <w:p w14:paraId="379742D1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每个项目建议单独创建一个会话，避免多个项目资料混在一起。</w:t>
      </w:r>
    </w:p>
    <w:p w14:paraId="0CA38DDD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6. 输入项目基础信息</w:t>
      </w:r>
    </w:p>
    <w:p w14:paraId="1333A3BF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用户可以直接在对话输入框中输入项目的基础信息，包括：</w:t>
      </w:r>
    </w:p>
    <w:p w14:paraId="0752338B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项目地址；</w:t>
      </w:r>
    </w:p>
    <w:p w14:paraId="7C2B904D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项目名称；</w:t>
      </w:r>
    </w:p>
    <w:p w14:paraId="29AAADD4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所属区域；</w:t>
      </w:r>
    </w:p>
    <w:p w14:paraId="66051E74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地块现状；</w:t>
      </w:r>
    </w:p>
    <w:p w14:paraId="07A3798E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更新诉求；</w:t>
      </w:r>
    </w:p>
    <w:p w14:paraId="7D0F2876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目标方向。</w:t>
      </w:r>
    </w:p>
    <w:p w14:paraId="27DAF68C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示例输入：</w:t>
      </w:r>
    </w:p>
    <w:p w14:paraId="703D9B2D">
      <w:pPr>
        <w:spacing w:after="160"/>
        <w:ind w:left="340"/>
      </w:pPr>
      <w:r>
        <w:rPr>
          <w:rFonts w:ascii="微软雅黑" w:hAnsi="微软雅黑" w:eastAsia="微软雅黑"/>
          <w:i/>
          <w:color w:val="6B7280"/>
          <w:sz w:val="22"/>
        </w:rPr>
        <w:t>“上海市徐汇区龙华片区某老旧社区，现状存在公共服务不足、停车困难、适老化设施不足等问题，希望通过城市更新提升社区生活品质。”</w:t>
      </w:r>
    </w:p>
    <w:p w14:paraId="60518B92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系统会根据输入判断信息是否充足：</w:t>
      </w:r>
    </w:p>
    <w:p w14:paraId="353A9394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信息充足：进入项目研判；</w:t>
      </w:r>
    </w:p>
    <w:p w14:paraId="1D344C10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信息不足：主动追问，例如要求补充具体地址、现状问题或更新目标。</w:t>
      </w:r>
    </w:p>
    <w:p w14:paraId="728A11CA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30E1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图2：用户输入项目地址与更新诉求</w:t>
      </w:r>
    </w:p>
    <w:p w14:paraId="5E6DDA6B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7. 上传项目资料</w:t>
      </w:r>
    </w:p>
    <w:p w14:paraId="6282C4FE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用户可以点击输入框左侧的“+”号上传资料。上传内容可以包括：</w:t>
      </w:r>
    </w:p>
    <w:p w14:paraId="7BDB8EAD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项目说明文档；</w:t>
      </w:r>
    </w:p>
    <w:p w14:paraId="03C675F7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现状调研资料；</w:t>
      </w:r>
    </w:p>
    <w:p w14:paraId="55BAED8F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表格数据；</w:t>
      </w:r>
    </w:p>
    <w:p w14:paraId="41F11D1E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项目图片；</w:t>
      </w:r>
    </w:p>
    <w:p w14:paraId="1FBBC9AD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PPT 或其他补充材料。</w:t>
      </w:r>
    </w:p>
    <w:p w14:paraId="6EA2337E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上传后，系统会识别资料中的项目信息（如项目地址、现状描述、更新诉求等），并作为项目研判和报告生成的参考。</w:t>
      </w:r>
    </w:p>
    <w:p w14:paraId="58D9C8F5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D39D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图3：点击加号选择上传项目资料的类型</w:t>
      </w:r>
    </w:p>
    <w:p w14:paraId="63B82316">
      <w:pPr>
        <w:pStyle w:val="3"/>
        <w:spacing w:before="320" w:after="160"/>
      </w:pPr>
      <w:bookmarkStart w:id="0" w:name="_GoBack"/>
      <w:bookmarkEnd w:id="0"/>
      <w:r>
        <w:rPr>
          <w:rFonts w:ascii="微软雅黑" w:hAnsi="微软雅黑" w:eastAsia="微软雅黑"/>
          <w:b/>
          <w:color w:val="2F54EB"/>
          <w:sz w:val="34"/>
        </w:rPr>
        <w:t>8. 智能体项目研判</w:t>
      </w:r>
    </w:p>
    <w:p w14:paraId="7229481A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用户补充完项目位置和诉求后，智能体会自动完成前期研判，主要包括：</w:t>
      </w:r>
    </w:p>
    <w:p w14:paraId="458A5A31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区位与周边配套判断；</w:t>
      </w:r>
    </w:p>
    <w:p w14:paraId="48775C2E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人口与客群基础判断；</w:t>
      </w:r>
    </w:p>
    <w:p w14:paraId="7BBCF4FF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房价与空间价值判断；</w:t>
      </w:r>
    </w:p>
    <w:p w14:paraId="5BDC0473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产业与功能基础判断；</w:t>
      </w:r>
    </w:p>
    <w:p w14:paraId="3102C900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更新类型判断；</w:t>
      </w:r>
    </w:p>
    <w:p w14:paraId="7906DA4A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机会与风险判断；</w:t>
      </w:r>
    </w:p>
    <w:p w14:paraId="04A7B53E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前策建议方向。</w:t>
      </w:r>
    </w:p>
    <w:p w14:paraId="0CEB907A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研判结果不是简单的聊天回复，而是为后续报告生成提供基础分析。</w:t>
      </w:r>
    </w:p>
    <w:p w14:paraId="10AFDDDB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9863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图5：智能体输出项目初步研判结果（区位、人口、房价等基础判断）</w:t>
      </w:r>
    </w:p>
    <w:p w14:paraId="61AEA913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B234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图6：研判结论与更新建议方向，并提供“生成前策报告”入口</w:t>
      </w:r>
    </w:p>
    <w:p w14:paraId="3DC50DFB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9. 信息不足时的主动追问</w:t>
      </w:r>
    </w:p>
    <w:p w14:paraId="4AF99DAC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当用户只输入“你好”“123”“帮我生成报告”等缺少项目信息的内容时，系统不会直接生成报告，而是会主动追问必要信息。</w:t>
      </w:r>
    </w:p>
    <w:p w14:paraId="67EEA5CF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示例：</w:t>
      </w:r>
    </w:p>
    <w:p w14:paraId="16754264">
      <w:pPr>
        <w:ind w:left="340"/>
      </w:pPr>
      <w:r>
        <w:rPr>
          <w:rFonts w:ascii="微软雅黑" w:hAnsi="微软雅黑" w:eastAsia="微软雅黑"/>
          <w:i/>
          <w:color w:val="6B7280"/>
          <w:sz w:val="22"/>
        </w:rPr>
        <w:t>用户输入：“帮我生成报告”</w:t>
      </w:r>
    </w:p>
    <w:p w14:paraId="2CE5EB39">
      <w:pPr>
        <w:spacing w:after="160"/>
        <w:ind w:left="340"/>
      </w:pPr>
      <w:r>
        <w:rPr>
          <w:rFonts w:ascii="微软雅黑" w:hAnsi="微软雅黑" w:eastAsia="微软雅黑"/>
          <w:i/>
          <w:color w:val="6B7280"/>
          <w:sz w:val="22"/>
        </w:rPr>
        <w:t>系统回复：“请先提供项目所在位置、现状问题和更新目标，我会据此完成项目研判并生成报告。”</w:t>
      </w:r>
    </w:p>
    <w:p w14:paraId="5B918A98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这种机制可以避免在资料不足时生成不可靠内容，保障报告质量。</w:t>
      </w:r>
    </w:p>
    <w:p w14:paraId="2CA8F1B6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10. 生成城市更新前期策划报告</w:t>
      </w:r>
    </w:p>
    <w:p w14:paraId="4EE1E4FA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当项目研判完成后，用户可以点击“生成前策报告”，或在输入框中输入：</w:t>
      </w:r>
    </w:p>
    <w:p w14:paraId="0FA2162E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“生成完整报告”</w:t>
      </w:r>
    </w:p>
    <w:p w14:paraId="06A15826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“生成前策报告”</w:t>
      </w:r>
    </w:p>
    <w:p w14:paraId="2CF24B15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“按照这个项目生成城市更新前期策划报告”</w:t>
      </w:r>
    </w:p>
    <w:p w14:paraId="2DF1A01E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系统会根据已完成的项目研判结果生成正式报告。报告内容通常包含以下方面：</w:t>
      </w:r>
    </w:p>
    <w:p w14:paraId="77E5F089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项目基础概况；</w:t>
      </w:r>
    </w:p>
    <w:p w14:paraId="14F64770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区位与配套分析；</w:t>
      </w:r>
    </w:p>
    <w:p w14:paraId="1531EA3A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人口与客群分析；</w:t>
      </w:r>
    </w:p>
    <w:p w14:paraId="0C440E63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房价与空间现状诊断；</w:t>
      </w:r>
    </w:p>
    <w:p w14:paraId="13E4BF94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产业与功能分析；</w:t>
      </w:r>
    </w:p>
    <w:p w14:paraId="2815DCC2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案例参考与策略借鉴；</w:t>
      </w:r>
    </w:p>
    <w:p w14:paraId="77411800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核心前策建议；</w:t>
      </w:r>
    </w:p>
    <w:p w14:paraId="5F6BFE21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数据限制说明；</w:t>
      </w:r>
    </w:p>
    <w:p w14:paraId="4825C472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附录与数据口径说明。</w:t>
      </w:r>
    </w:p>
    <w:p w14:paraId="5E9443E0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报告包含完整的章节结构和量化分析表格，结构清晰、便于阅读与汇报。</w:t>
      </w:r>
    </w:p>
    <w:p w14:paraId="5A6A3948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903C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图7：报告生成完成后的结果卡片（预览、复制、下载 Word、导出 PDF、继续优化）</w:t>
      </w:r>
    </w:p>
    <w:p w14:paraId="7EAA0B78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11. 报告预览、复制、下载与导出</w:t>
      </w:r>
    </w:p>
    <w:p w14:paraId="329FF32C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报告生成后，用户可以进行以下操作：</w:t>
      </w:r>
    </w:p>
    <w:tbl>
      <w:tblPr>
        <w:tblStyle w:val="33"/>
        <w:tblW w:w="0" w:type="auto"/>
        <w:jc w:val="center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066"/>
      </w:tblGrid>
      <w:tr w14:paraId="10714800">
        <w:trPr>
          <w:jc w:val="center"/>
        </w:trPr>
        <w:tc>
          <w:tcPr>
            <w:tcW w:w="1984" w:type="dxa"/>
            <w:shd w:val="clear" w:color="auto" w:fill="2F54EB"/>
          </w:tcPr>
          <w:p w14:paraId="12EFF6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操作</w:t>
            </w:r>
          </w:p>
        </w:tc>
        <w:tc>
          <w:tcPr>
            <w:tcW w:w="6066" w:type="dxa"/>
            <w:shd w:val="clear" w:color="auto" w:fill="2F54EB"/>
          </w:tcPr>
          <w:p w14:paraId="6BAE97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0E98F717">
        <w:trPr>
          <w:jc w:val="center"/>
        </w:trPr>
        <w:tc>
          <w:tcPr>
            <w:tcW w:w="1984" w:type="dxa"/>
            <w:shd w:val="clear" w:color="auto" w:fill="FFFFFF"/>
          </w:tcPr>
          <w:p w14:paraId="56B397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预览报告</w:t>
            </w:r>
          </w:p>
        </w:tc>
        <w:tc>
          <w:tcPr>
            <w:tcW w:w="6066" w:type="dxa"/>
            <w:shd w:val="clear" w:color="auto" w:fill="FFFFFF"/>
          </w:tcPr>
          <w:p w14:paraId="6159A4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在线查看报告正文结构与内容</w:t>
            </w:r>
          </w:p>
        </w:tc>
      </w:tr>
      <w:tr w14:paraId="392C9B82">
        <w:trPr>
          <w:jc w:val="center"/>
        </w:trPr>
        <w:tc>
          <w:tcPr>
            <w:tcW w:w="1984" w:type="dxa"/>
            <w:shd w:val="clear" w:color="auto" w:fill="F4F6FB"/>
          </w:tcPr>
          <w:p w14:paraId="20301E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复制正文</w:t>
            </w:r>
          </w:p>
        </w:tc>
        <w:tc>
          <w:tcPr>
            <w:tcW w:w="6066" w:type="dxa"/>
            <w:shd w:val="clear" w:color="auto" w:fill="F4F6FB"/>
          </w:tcPr>
          <w:p w14:paraId="1D9EA0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复制报告文字内容，便于二次编辑</w:t>
            </w:r>
          </w:p>
        </w:tc>
      </w:tr>
      <w:tr w14:paraId="60C458CB">
        <w:trPr>
          <w:jc w:val="center"/>
        </w:trPr>
        <w:tc>
          <w:tcPr>
            <w:tcW w:w="1984" w:type="dxa"/>
            <w:shd w:val="clear" w:color="auto" w:fill="FFFFFF"/>
          </w:tcPr>
          <w:p w14:paraId="7961F2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下载 Word</w:t>
            </w:r>
          </w:p>
        </w:tc>
        <w:tc>
          <w:tcPr>
            <w:tcW w:w="6066" w:type="dxa"/>
            <w:shd w:val="clear" w:color="auto" w:fill="FFFFFF"/>
          </w:tcPr>
          <w:p w14:paraId="65891F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下载可编辑的 Word 报告文件</w:t>
            </w:r>
          </w:p>
        </w:tc>
      </w:tr>
      <w:tr w14:paraId="243300E4">
        <w:trPr>
          <w:jc w:val="center"/>
        </w:trPr>
        <w:tc>
          <w:tcPr>
            <w:tcW w:w="1984" w:type="dxa"/>
            <w:shd w:val="clear" w:color="auto" w:fill="F4F6FB"/>
          </w:tcPr>
          <w:p w14:paraId="3EA114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导出 PDF</w:t>
            </w:r>
          </w:p>
        </w:tc>
        <w:tc>
          <w:tcPr>
            <w:tcW w:w="6066" w:type="dxa"/>
            <w:shd w:val="clear" w:color="auto" w:fill="F4F6FB"/>
          </w:tcPr>
          <w:p w14:paraId="3D00AE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导出正式 PDF 文件，便于提交或存档</w:t>
            </w:r>
          </w:p>
        </w:tc>
      </w:tr>
      <w:tr w14:paraId="3C9A3BCF">
        <w:trPr>
          <w:jc w:val="center"/>
        </w:trPr>
        <w:tc>
          <w:tcPr>
            <w:tcW w:w="1984" w:type="dxa"/>
            <w:shd w:val="clear" w:color="auto" w:fill="FFFFFF"/>
          </w:tcPr>
          <w:p w14:paraId="25D8D1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继续优化</w:t>
            </w:r>
          </w:p>
        </w:tc>
        <w:tc>
          <w:tcPr>
            <w:tcW w:w="6066" w:type="dxa"/>
            <w:shd w:val="clear" w:color="auto" w:fill="FFFFFF"/>
          </w:tcPr>
          <w:p w14:paraId="0A4F97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根据用户补充要求继续调整报告内容</w:t>
            </w:r>
          </w:p>
        </w:tc>
      </w:tr>
    </w:tbl>
    <w:p w14:paraId="370EC934">
      <w:pPr>
        <w:spacing w:after="40"/>
      </w:pPr>
    </w:p>
    <w:p w14:paraId="4C827C31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E016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图8：报告预览页面（报告标题、说明与报告目录）</w:t>
      </w:r>
    </w:p>
    <w:p w14:paraId="04ADE95D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F5CF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图9：报告预览中的量化分析表格（核心 / 近邻 / 辐射三圈层）</w:t>
      </w:r>
    </w:p>
    <w:tbl>
      <w:tblPr>
        <w:tblStyle w:val="32"/>
        <w:tblW w:w="0" w:type="auto"/>
        <w:jc w:val="center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1FE4CD02">
        <w:trPr>
          <w:jc w:val="center"/>
        </w:trPr>
        <w:tc>
          <w:tcPr>
            <w:tcW w:w="8050" w:type="dxa"/>
            <w:shd w:val="clear" w:color="auto" w:fill="F2F3F5"/>
          </w:tcPr>
          <w:p w14:paraId="3EFDF76B">
            <w:pPr>
              <w:spacing w:after="560"/>
              <w:jc w:val="center"/>
            </w:pPr>
            <w:r>
              <w:drawing>
                <wp:inline distT="0" distB="0" distL="114300" distR="114300">
                  <wp:extent cx="5756910" cy="6056630"/>
                  <wp:effectExtent l="0" t="0" r="8890" b="1397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605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DFB43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图10：下载的 Word 报告打开后的效果</w:t>
      </w:r>
    </w:p>
    <w:tbl>
      <w:tblPr>
        <w:tblStyle w:val="32"/>
        <w:tblW w:w="0" w:type="auto"/>
        <w:jc w:val="center"/>
        <w:tblBorders>
          <w:top w:val="single" w:color="D0D5DD" w:sz="6" w:space="0"/>
          <w:left w:val="single" w:color="D0D5DD" w:sz="6" w:space="0"/>
          <w:bottom w:val="single" w:color="D0D5DD" w:sz="6" w:space="0"/>
          <w:right w:val="single" w:color="D0D5DD" w:sz="6" w:space="0"/>
          <w:insideH w:val="single" w:color="D0D5DD" w:sz="6" w:space="0"/>
          <w:insideV w:val="single" w:color="D0D5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2"/>
      </w:tblGrid>
      <w:tr w14:paraId="67BDA365">
        <w:trPr>
          <w:jc w:val="center"/>
        </w:trPr>
        <w:tc>
          <w:tcPr>
            <w:tcW w:w="8050" w:type="dxa"/>
            <w:shd w:val="clear" w:color="auto" w:fill="F2F3F5"/>
          </w:tcPr>
          <w:p w14:paraId="316B9773">
            <w:pPr>
              <w:spacing w:after="560"/>
              <w:jc w:val="center"/>
            </w:pPr>
            <w:r>
              <w:drawing>
                <wp:inline distT="0" distB="0" distL="114300" distR="114300">
                  <wp:extent cx="5760085" cy="2922905"/>
                  <wp:effectExtent l="0" t="0" r="5715" b="23495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92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BE783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图11：导出的 PDF 报告效果</w:t>
      </w:r>
    </w:p>
    <w:p w14:paraId="37B3DEF0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12. 历史会话管理</w:t>
      </w:r>
    </w:p>
    <w:p w14:paraId="4BE364C6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界面左侧的历史会话用于管理不同项目。每个会话都可以进行以下操作：</w:t>
      </w:r>
    </w:p>
    <w:p w14:paraId="48353312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继续打开；</w:t>
      </w:r>
    </w:p>
    <w:p w14:paraId="121CF338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重命名；</w:t>
      </w:r>
    </w:p>
    <w:p w14:paraId="21862CE4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删除；</w:t>
      </w:r>
    </w:p>
    <w:p w14:paraId="637A6B2F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置顶；</w:t>
      </w:r>
    </w:p>
    <w:p w14:paraId="34FEB19B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归档；</w:t>
      </w:r>
    </w:p>
    <w:p w14:paraId="41D30094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分享。</w:t>
      </w:r>
    </w:p>
    <w:p w14:paraId="4918AAEB">
      <w:pPr>
        <w:spacing w:before="120" w:after="0"/>
        <w:jc w:val="center"/>
      </w:pPr>
      <w:r>
        <w:drawing>
          <wp:inline distT="0" distB="0" distL="114300" distR="114300">
            <wp:extent cx="5111750" cy="4147185"/>
            <wp:effectExtent l="0" t="0" r="1905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1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31E6">
      <w:pPr>
        <w:spacing w:before="60" w:after="240"/>
        <w:jc w:val="center"/>
      </w:pPr>
      <w:r>
        <w:rPr>
          <w:rFonts w:ascii="微软雅黑" w:hAnsi="微软雅黑" w:eastAsia="微软雅黑"/>
          <w:i/>
          <w:color w:val="6B7280"/>
          <w:sz w:val="19"/>
        </w:rPr>
        <w:t>图12：历史会话列表与会话更多操作（重命名、置顶、归档、分享、删除）</w:t>
      </w:r>
    </w:p>
    <w:p w14:paraId="74AC2E79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使用建议：</w:t>
      </w:r>
    </w:p>
    <w:p w14:paraId="15CCAFE6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一个会话建议对应一个城市更新项目；</w:t>
      </w:r>
    </w:p>
    <w:p w14:paraId="2612EFAB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删除前请确认是否还需要该项目的对话记录；</w:t>
      </w:r>
    </w:p>
    <w:p w14:paraId="39E3CF48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置顶适合常用项目；</w:t>
      </w:r>
    </w:p>
    <w:p w14:paraId="0DBD1D4B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归档适合已完成项目。</w:t>
      </w:r>
    </w:p>
    <w:p w14:paraId="606A0067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13. 推荐使用方式</w:t>
      </w:r>
    </w:p>
    <w:p w14:paraId="79052A4D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为了获得更准确的研判结果，建议用户在输入项目时尽量提供以下信息：</w:t>
      </w:r>
    </w:p>
    <w:p w14:paraId="6D0AF100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项目所在位置；</w:t>
      </w:r>
    </w:p>
    <w:p w14:paraId="5C098EF3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项目名称或地块名称；</w:t>
      </w:r>
    </w:p>
    <w:p w14:paraId="3180DCB1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现状问题；</w:t>
      </w:r>
    </w:p>
    <w:p w14:paraId="0A306826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更新目标；</w:t>
      </w:r>
    </w:p>
    <w:p w14:paraId="537BF9C5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用地或建筑现状；</w:t>
      </w:r>
    </w:p>
    <w:p w14:paraId="7361D9D6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已有调研资料；</w:t>
      </w:r>
    </w:p>
    <w:p w14:paraId="0E4DECA3">
      <w:pPr>
        <w:pStyle w:val="14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希望重点分析的方向。</w:t>
      </w:r>
    </w:p>
    <w:p w14:paraId="5D4ABDB2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示例完整输入：</w:t>
      </w:r>
    </w:p>
    <w:p w14:paraId="7F748D94">
      <w:pPr>
        <w:spacing w:after="160"/>
        <w:ind w:left="340"/>
      </w:pPr>
      <w:r>
        <w:rPr>
          <w:rFonts w:ascii="微软雅黑" w:hAnsi="微软雅黑" w:eastAsia="微软雅黑"/>
          <w:i/>
          <w:color w:val="6B7280"/>
          <w:sz w:val="22"/>
        </w:rPr>
        <w:t>“上海市徐汇区龙华片区某老旧社区，现状存在停车困难、适老化不足、公共服务设施不足等问题，周边以居住和生活服务为主，希望通过城市更新提升社区服务能力和居住品质，请帮我进行项目初步研判，并生成前期策划报告。”</w:t>
      </w:r>
    </w:p>
    <w:p w14:paraId="42D5765B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14. 常见问题</w:t>
      </w:r>
    </w:p>
    <w:p w14:paraId="672BB2EC">
      <w:pPr>
        <w:spacing w:before="120" w:after="40"/>
      </w:pPr>
      <w:r>
        <w:rPr>
          <w:rFonts w:ascii="微软雅黑" w:hAnsi="微软雅黑" w:eastAsia="微软雅黑"/>
          <w:b/>
          <w:color w:val="1F2937"/>
          <w:sz w:val="22"/>
        </w:rPr>
        <w:t>Q1：只输入“你好”为什么不会直接生成报告？</w:t>
      </w:r>
    </w:p>
    <w:p w14:paraId="59954341">
      <w:pPr>
        <w:spacing w:after="80" w:line="336" w:lineRule="auto"/>
      </w:pPr>
      <w:r>
        <w:rPr>
          <w:rFonts w:ascii="微软雅黑" w:hAnsi="微软雅黑" w:eastAsia="微软雅黑"/>
          <w:color w:val="374151"/>
          <w:sz w:val="22"/>
        </w:rPr>
        <w:t>A：因为生成城市更新前期策划报告需要项目位置、现状问题和更新目标。信息不足时，系统会先主动追问，避免生成不可靠内容。</w:t>
      </w:r>
    </w:p>
    <w:p w14:paraId="5CEC7FF7">
      <w:pPr>
        <w:spacing w:before="120" w:after="40"/>
      </w:pPr>
      <w:r>
        <w:rPr>
          <w:rFonts w:ascii="微软雅黑" w:hAnsi="微软雅黑" w:eastAsia="微软雅黑"/>
          <w:b/>
          <w:color w:val="1F2937"/>
          <w:sz w:val="22"/>
        </w:rPr>
        <w:t>Q2：系统可以直接根据一个地址生成报告吗？</w:t>
      </w:r>
    </w:p>
    <w:p w14:paraId="1BE528D6">
      <w:pPr>
        <w:spacing w:after="80" w:line="336" w:lineRule="auto"/>
      </w:pPr>
      <w:r>
        <w:rPr>
          <w:rFonts w:ascii="微软雅黑" w:hAnsi="微软雅黑" w:eastAsia="微软雅黑"/>
          <w:color w:val="374151"/>
          <w:sz w:val="22"/>
        </w:rPr>
        <w:t>A：可以先完成初步研判，但如果缺少现状问题、更新诉求或项目资料，系统会建议用户继续补充，以提升报告质量。</w:t>
      </w:r>
    </w:p>
    <w:p w14:paraId="3ACAB641">
      <w:pPr>
        <w:spacing w:before="120" w:after="40"/>
      </w:pPr>
      <w:r>
        <w:rPr>
          <w:rFonts w:ascii="微软雅黑" w:hAnsi="微软雅黑" w:eastAsia="微软雅黑"/>
          <w:b/>
          <w:color w:val="1F2937"/>
          <w:sz w:val="22"/>
        </w:rPr>
        <w:t>Q3：上传资料后会发生什么？</w:t>
      </w:r>
    </w:p>
    <w:p w14:paraId="0F4458A8">
      <w:pPr>
        <w:spacing w:after="80" w:line="336" w:lineRule="auto"/>
      </w:pPr>
      <w:r>
        <w:rPr>
          <w:rFonts w:ascii="微软雅黑" w:hAnsi="微软雅黑" w:eastAsia="微软雅黑"/>
          <w:color w:val="374151"/>
          <w:sz w:val="22"/>
        </w:rPr>
        <w:t>A：系统会提取资料中的项目地址、现状描述、更新诉求等信息，并用于后续研判和报告生成。</w:t>
      </w:r>
    </w:p>
    <w:p w14:paraId="3BD79731">
      <w:pPr>
        <w:spacing w:before="120" w:after="40"/>
      </w:pPr>
      <w:r>
        <w:rPr>
          <w:rFonts w:ascii="微软雅黑" w:hAnsi="微软雅黑" w:eastAsia="微软雅黑"/>
          <w:b/>
          <w:color w:val="1F2937"/>
          <w:sz w:val="22"/>
        </w:rPr>
        <w:t>Q4：报告可以导出哪些格式？</w:t>
      </w:r>
    </w:p>
    <w:p w14:paraId="2C83EC3B">
      <w:pPr>
        <w:spacing w:after="80" w:line="336" w:lineRule="auto"/>
      </w:pPr>
      <w:r>
        <w:rPr>
          <w:rFonts w:ascii="微软雅黑" w:hAnsi="微软雅黑" w:eastAsia="微软雅黑"/>
          <w:color w:val="374151"/>
          <w:sz w:val="22"/>
        </w:rPr>
        <w:t>A：支持下载 Word 文件，也支持导出 PDF 文件。</w:t>
      </w:r>
    </w:p>
    <w:p w14:paraId="32521DA6">
      <w:pPr>
        <w:spacing w:before="120" w:after="40"/>
      </w:pPr>
      <w:r>
        <w:rPr>
          <w:rFonts w:ascii="微软雅黑" w:hAnsi="微软雅黑" w:eastAsia="微软雅黑"/>
          <w:b/>
          <w:color w:val="1F2937"/>
          <w:sz w:val="22"/>
        </w:rPr>
        <w:t>Q5：报告生成后还能修改吗？</w:t>
      </w:r>
    </w:p>
    <w:p w14:paraId="3D62FB55">
      <w:pPr>
        <w:spacing w:after="80" w:line="336" w:lineRule="auto"/>
      </w:pPr>
      <w:r>
        <w:rPr>
          <w:rFonts w:ascii="微软雅黑" w:hAnsi="微软雅黑" w:eastAsia="微软雅黑"/>
          <w:color w:val="374151"/>
          <w:sz w:val="22"/>
        </w:rPr>
        <w:t>A：可以继续在对话中提出修改要求，例如“请加强产业分析部分”“请优化前策建议表达”“请补充公共服务短板分析”。</w:t>
      </w:r>
    </w:p>
    <w:p w14:paraId="633BA756">
      <w:pPr>
        <w:spacing w:before="120" w:after="40"/>
      </w:pPr>
      <w:r>
        <w:rPr>
          <w:rFonts w:ascii="微软雅黑" w:hAnsi="微软雅黑" w:eastAsia="微软雅黑"/>
          <w:b/>
          <w:color w:val="1F2937"/>
          <w:sz w:val="22"/>
        </w:rPr>
        <w:t>Q6：为什么有些数据会显示暂缺？</w:t>
      </w:r>
    </w:p>
    <w:p w14:paraId="5FE9990A">
      <w:pPr>
        <w:spacing w:after="80" w:line="336" w:lineRule="auto"/>
      </w:pPr>
      <w:r>
        <w:rPr>
          <w:rFonts w:ascii="微软雅黑" w:hAnsi="微软雅黑" w:eastAsia="微软雅黑"/>
          <w:color w:val="374151"/>
          <w:sz w:val="22"/>
        </w:rPr>
        <w:t>A：当当前数据源没有覆盖某一类指标时，系统会据实标注为数据暂缺，不会编造数据。</w:t>
      </w:r>
    </w:p>
    <w:p w14:paraId="600E1F37">
      <w:pPr>
        <w:spacing w:before="120" w:after="40"/>
      </w:pPr>
      <w:r>
        <w:rPr>
          <w:rFonts w:ascii="微软雅黑" w:hAnsi="微软雅黑" w:eastAsia="微软雅黑"/>
          <w:b/>
          <w:color w:val="1F2937"/>
          <w:sz w:val="22"/>
        </w:rPr>
        <w:t>Q7：一个会话可以分析多个项目吗？</w:t>
      </w:r>
    </w:p>
    <w:p w14:paraId="7A98D93E">
      <w:pPr>
        <w:spacing w:after="80" w:line="336" w:lineRule="auto"/>
      </w:pPr>
      <w:r>
        <w:rPr>
          <w:rFonts w:ascii="微软雅黑" w:hAnsi="微软雅黑" w:eastAsia="微软雅黑"/>
          <w:color w:val="374151"/>
          <w:sz w:val="22"/>
        </w:rPr>
        <w:t>A：不建议。建议一个会话对应一个项目，方便后续查看和导出报告。</w:t>
      </w:r>
    </w:p>
    <w:p w14:paraId="43396ADF">
      <w:pPr>
        <w:spacing w:before="120" w:after="40"/>
      </w:pPr>
      <w:r>
        <w:rPr>
          <w:rFonts w:ascii="微软雅黑" w:hAnsi="微软雅黑" w:eastAsia="微软雅黑"/>
          <w:b/>
          <w:color w:val="1F2937"/>
          <w:sz w:val="22"/>
        </w:rPr>
        <w:t>Q8：历史会话可以管理吗？</w:t>
      </w:r>
    </w:p>
    <w:p w14:paraId="5587DBBF">
      <w:pPr>
        <w:spacing w:after="80" w:line="336" w:lineRule="auto"/>
      </w:pPr>
      <w:r>
        <w:rPr>
          <w:rFonts w:ascii="微软雅黑" w:hAnsi="微软雅黑" w:eastAsia="微软雅黑"/>
          <w:color w:val="374151"/>
          <w:sz w:val="22"/>
        </w:rPr>
        <w:t>A：可以进行重命名、删除、置顶、归档和分享等操作。</w:t>
      </w:r>
    </w:p>
    <w:p w14:paraId="01AAE7C8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15. 注意事项</w:t>
      </w:r>
    </w:p>
    <w:p w14:paraId="003E5136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输入项目地址时，建议尽量具体到区、街道、路名或地块名称；</w:t>
      </w:r>
    </w:p>
    <w:p w14:paraId="0BECDD1A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上传文件时，建议使用清晰、完整的项目资料；</w:t>
      </w:r>
    </w:p>
    <w:p w14:paraId="4104B233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若系统提示信息不足，请根据提示补充资料；</w:t>
      </w:r>
    </w:p>
    <w:p w14:paraId="67EF74B8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报告生成后建议先预览确认，再导出 Word 或 PDF；</w:t>
      </w:r>
    </w:p>
    <w:p w14:paraId="41210AE2">
      <w:pPr>
        <w:pStyle w:val="16"/>
        <w:spacing w:after="60" w:line="336" w:lineRule="auto"/>
      </w:pPr>
      <w:r>
        <w:rPr>
          <w:rFonts w:ascii="微软雅黑" w:hAnsi="微软雅黑" w:eastAsia="微软雅黑"/>
          <w:color w:val="1F2937"/>
          <w:sz w:val="22"/>
        </w:rPr>
        <w:t>对于数据暂缺的部分，系统会据实提示，用户可通过上传补充资料进一步完善。</w:t>
      </w:r>
    </w:p>
    <w:p w14:paraId="5CED3C5F">
      <w:pPr>
        <w:pStyle w:val="3"/>
        <w:spacing w:before="320" w:after="160"/>
      </w:pPr>
      <w:r>
        <w:rPr>
          <w:rFonts w:ascii="微软雅黑" w:hAnsi="微软雅黑" w:eastAsia="微软雅黑"/>
          <w:b/>
          <w:color w:val="2F54EB"/>
          <w:sz w:val="34"/>
        </w:rPr>
        <w:t>16. 产品使用闭环总结</w:t>
      </w:r>
    </w:p>
    <w:p w14:paraId="4C60C646">
      <w:pPr>
        <w:spacing w:after="160" w:line="360" w:lineRule="auto"/>
        <w:jc w:val="both"/>
      </w:pPr>
      <w:r>
        <w:rPr>
          <w:rFonts w:ascii="微软雅黑" w:hAnsi="微软雅黑" w:eastAsia="微软雅黑"/>
          <w:color w:val="1F2937"/>
          <w:sz w:val="22"/>
        </w:rPr>
        <w:t>CityRenew Agent 支持从项目输入、资料补充、智能研判、策略建议、报告生成到 Word / PDF 导出的完整流程。用户无需手动整理多源数据，即可通过对话方式完成城市更新前期策划报告的生成与优化。系统在信息不足时会主动追问，在数据缺失时会据实提示，保障报告内容的可用性和可靠性。</w:t>
      </w:r>
    </w:p>
    <w:sectPr>
      <w:pgSz w:w="12240" w:h="15840"/>
      <w:pgMar w:top="1361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0FB4809"/>
    <w:rsid w:val="FD2F9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学无止境</cp:lastModifiedBy>
  <dcterms:modified xsi:type="dcterms:W3CDTF">2026-06-16T07:29:15Z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EB79009B1868E044AC87306AD979F276_42</vt:lpwstr>
  </property>
</Properties>
</file>