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Aptos Display" w:hAnsi="Aptos Display"/>
          <w:b/>
          <w:color w:val="141C2C"/>
          <w:sz w:val="60"/>
        </w:rPr>
        <w:t>LOGIMARKET</w:t>
      </w:r>
      <w:r>
        <w:rPr>
          <w:rFonts w:ascii="Aptos Display" w:hAnsi="Aptos Display"/>
          <w:b/>
          <w:color w:val="147487"/>
          <w:sz w:val="60"/>
        </w:rPr>
        <w:t>.EU</w:t>
      </w:r>
    </w:p>
    <w:p>
      <w:pPr>
        <w:spacing w:after="200"/>
      </w:pPr>
      <w:r>
        <w:rPr>
          <w:rFonts w:ascii="Aptos" w:hAnsi="Aptos"/>
          <w:b/>
          <w:color w:val="147487"/>
          <w:sz w:val="18"/>
        </w:rPr>
        <w:t>DOKUMENT 03</w:t>
      </w:r>
    </w:p>
    <w:p>
      <w:pPr>
        <w:pStyle w:val="Title"/>
      </w:pPr>
      <w:r>
        <w:t>LogiMarket Marketplace - RODO / Data Flow Pack</w:t>
      </w:r>
    </w:p>
    <w:p>
      <w:pPr>
        <w:spacing w:after="360"/>
      </w:pPr>
      <w:r>
        <w:rPr>
          <w:rFonts w:ascii="Aptos" w:hAnsi="Aptos"/>
          <w:color w:val="5B6472"/>
          <w:sz w:val="24"/>
        </w:rPr>
        <w:t>Workstream E | aktualny stan systemu, retencja, przepływy i pytania dla DPO/kancelarii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MATERIAŁ DO WERYFIKACJI PRAWNEJ</w:t>
            </w:r>
          </w:p>
        </w:tc>
      </w:tr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Projekt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logimarket.eu / marketplace B2B</w:t>
            </w:r>
          </w:p>
        </w:tc>
      </w:tr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Baseline techniczny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main @ cd1de62625f6a95bb0ed8e651ab40b3544e41a5d</w:t>
            </w:r>
          </w:p>
        </w:tc>
      </w:tr>
    </w:tbl>
    <w:p/>
    <w:p>
      <w:r>
        <w:rPr>
          <w:rFonts w:ascii="Aptos" w:hAnsi="Aptos"/>
          <w:b/>
          <w:color w:val="141C2C"/>
        </w:rPr>
        <w:t xml:space="preserve">Cel: </w:t>
      </w:r>
      <w:r>
        <w:rPr>
          <w:rFonts w:ascii="Aptos" w:hAnsi="Aptos"/>
          <w:color w:val="5B6472"/>
        </w:rPr>
        <w:t>przekazanie kancelarii i/lub DPO uporządkowanych faktów biznesowych, technicznych oraz pytań wymagających formalnej opinii. Dokument nie stanowi opinii prawnej.</w:t>
      </w:r>
    </w:p>
    <w:p>
      <w:r>
        <w:br w:type="page"/>
      </w:r>
    </w:p>
    <w:p>
      <w:pPr>
        <w:pStyle w:val="Heading1"/>
      </w:pPr>
      <w:r>
        <w:t>1. Cel i status</w:t>
      </w:r>
    </w:p>
    <w:p>
      <w:r>
        <w:t>Dokument przedstawia faktycznie zaimplementowane obecnie operacje przetwarzania oraz przyszłe, planowane przepływy danych. Nie przypisuje z góry ról administratora/podmiotu przetwarzającego, podstaw prawnych ani finalnych okresów retencji.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0F0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Status Workstream E</w:t>
              <w:br/>
            </w:r>
            <w:r>
              <w:rPr>
                <w:rFonts w:ascii="Aptos" w:hAnsi="Aptos"/>
                <w:color w:val="141C2C"/>
                <w:sz w:val="19"/>
              </w:rPr>
              <w:t>LEG_MKT_09_EVIDENCE_PACK_READY=YES; OMQ_MKT_11_EVIDENCE_PACK_READY=YES. Jednocześnie LEG_MKT_09_CLOSED=NO, OMQ_MKT_11_CLOSED=NO i DATA_PROTECTION_ROLE_STATUS=PENDING_EXTERNAL_REVIEW.</w:t>
            </w:r>
          </w:p>
        </w:tc>
      </w:tr>
    </w:tbl>
    <w:p/>
    <w:p>
      <w:pPr>
        <w:pStyle w:val="Heading1"/>
      </w:pPr>
      <w:r>
        <w:t>2. Current Processing Activity Register</w:t>
      </w:r>
    </w:p>
    <w:p>
      <w:pPr>
        <w:pStyle w:val="Heading2"/>
      </w:pPr>
      <w:r>
        <w:t>ACT-01 - Checkout / order submission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Stan faktyczny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CURRENT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Osoba / podmiot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Nieuwierzytelniony użytkownik składający zamówienie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Dane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companyName, contactName, email, phone, message; order items i wartość zamówienia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Źródło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Formularz Checkout -&gt; Server Action -&gt; PostgreSQL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Odbiorca CURRENT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LogiMarket Admin; brak dowodu repo na dostęp Partnera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Przyszły cel Partnera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Realizacja zamówienia - FUTURE business intent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Rola RODO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PENDING_LEGAL_COUNSEL / DPO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Art. 13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Treść informacyjna istnieje jako checkoutLabels.legalNote; sufficiency=PENDING</w:t>
            </w:r>
          </w:p>
        </w:tc>
      </w:tr>
    </w:tbl>
    <w:p/>
    <w:p>
      <w:pPr>
        <w:pStyle w:val="Heading2"/>
      </w:pPr>
      <w:r>
        <w:t>ACT-02 - RFQ submission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Stan faktyczny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CURRENT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Osoba / podmiot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Nieuwierzytelniony użytkownik składający RFQ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Dane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companyName, contactName, email, phone, message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Źródło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RfqDialog -&gt; Server Action -&gt; rfq_leads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Odbiorca CURRENT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LogiMarket Admin; brak dowodu repo na dostęp Partnera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Przyszły cel Partnera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Odpowiedź handlowa / quotation - FUTURE business intent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Rola RODO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PENDING_LEGAL_COUNSEL / DPO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Art. 13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Tekst rfqLabels.consent jest renderowany; sufficiency=PENDING</w:t>
            </w:r>
          </w:p>
        </w:tc>
      </w:tr>
    </w:tbl>
    <w:p/>
    <w:p>
      <w:pPr>
        <w:pStyle w:val="Heading2"/>
      </w:pPr>
      <w:r>
        <w:t>ACT-03 - Admin authentication &amp; authorization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Stan faktyczny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CURRENT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Osoba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LogiMarket Admin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Dane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email + credential przekazywany do Supabase Auth; sposób przechowywania hasła poza repo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Auth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Supabase Auth signInWithPassword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Autoryzacja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requireAdmin + ADMIN_USER_IDS allowlist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Partner auth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Nieudowodniony / niezaimplementowany jako Partner Portal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Rola RODO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</w:t>
            </w:r>
          </w:p>
        </w:tc>
      </w:tr>
    </w:tbl>
    <w:p/>
    <w:p>
      <w:pPr>
        <w:pStyle w:val="Heading2"/>
      </w:pPr>
      <w:r>
        <w:t>ACT-04 - Outbound click / analytics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Stan faktyczny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CURRENT, gdy tracking secret jest prawidłowo skonfigurowany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Osoba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UNAUTHENTICATED_VISITOR; identifiability=PENDING_DPO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Dane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session identifier + HMAC-SHA256 IP identifier, offerId, partnerId, timestamp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Cel faktyczny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Analytics / lead conversion tracking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Kontrole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no-referrer response policy; tracking pomijany bez prawidłowego secret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Rola / podstawa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</w:t>
            </w:r>
          </w:p>
        </w:tc>
      </w:tr>
    </w:tbl>
    <w:p/>
    <w:p>
      <w:pPr>
        <w:pStyle w:val="Heading2"/>
      </w:pPr>
      <w:r>
        <w:t>ACT-05 - Cart &amp; session handling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Stan faktyczny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CURRENT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Dane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losowy session identifier (32 random bytes -&gt; hex) + cart items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Cookie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httpOnly=true, sameSite=lax, maxAge=30 dni; secure flag nie jest jawnie ustawiony w kodzie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Usuwanie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remove item / clear cart / successful checkout - VERIFIED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Luka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brak automatycznego expiry porzuconych rekordów cart_items w DB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Rola / podstawa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</w:t>
            </w:r>
          </w:p>
        </w:tc>
      </w:tr>
    </w:tbl>
    <w:p/>
    <w:p>
      <w:pPr>
        <w:pStyle w:val="Heading2"/>
      </w:pPr>
      <w:r>
        <w:t>ACT-06 - Partner contact record 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Stan faktyczny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CURRENT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Dane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companyName, contactEmail, websiteUrl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Przechowywanie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partners table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Admin visibility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YES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Public rendering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NOT_VERIFIED z samej projekcji DTO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Klasyfikacja danych osobowych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PENDING_DPO zależnie od charakteru adresu/danych</w:t>
            </w:r>
          </w:p>
        </w:tc>
      </w:tr>
    </w:tbl>
    <w:p/>
    <w:p>
      <w:pPr>
        <w:pStyle w:val="Heading1"/>
      </w:pPr>
      <w:r>
        <w:t>3. Data Disclosure Register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Przepływ</w:t>
            </w:r>
          </w:p>
        </w:tc>
        <w:tc>
          <w:tcPr>
            <w:tcW w:type="dxa" w:w="1587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60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Dane</w:t>
            </w:r>
          </w:p>
        </w:tc>
        <w:tc>
          <w:tcPr>
            <w:tcW w:type="dxa" w:w="2835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Buyer -&gt; LogiMarket (Checkout)</w:t>
            </w:r>
          </w:p>
        </w:tc>
        <w:tc>
          <w:tcPr>
            <w:tcW w:type="dxa" w:w="158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CURRENT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company/contact/email/phone/message + order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Bezpośrednia kolekcja; Art. 13 do oceny</w:t>
            </w:r>
          </w:p>
        </w:tc>
      </w:tr>
      <w:tr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Buyer -&gt; LogiMarket (RFQ)</w:t>
            </w:r>
          </w:p>
        </w:tc>
        <w:tc>
          <w:tcPr>
            <w:tcW w:type="dxa" w:w="158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CURRENT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company/contact/email/phone/message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Bezpośrednia kolekcja; Art. 13 do oceny</w:t>
            </w:r>
          </w:p>
        </w:tc>
      </w:tr>
      <w:tr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LogiMarket Admin -&gt; DB/read models</w:t>
            </w:r>
          </w:p>
        </w:tc>
        <w:tc>
          <w:tcPr>
            <w:tcW w:type="dxa" w:w="158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CURRENT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wybrane PII RFQ/orders/partner contacts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Dostęp admin chroniony requireAdmin</w:t>
            </w:r>
          </w:p>
        </w:tc>
      </w:tr>
      <w:tr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LogiMarket -&gt; Partner</w:t>
            </w:r>
          </w:p>
        </w:tc>
        <w:tc>
          <w:tcPr>
            <w:tcW w:type="dxa" w:w="158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FUTURE / NOT VERIFIED CURRENT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PII potrzebne do fulfillment/RFQ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Brak Partner Portal i brak automatycznego routingu PII w repo</w:t>
            </w:r>
          </w:p>
        </w:tc>
      </w:tr>
      <w:tr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LogiMarket -&gt; infrastruktura/Auth</w:t>
            </w:r>
          </w:p>
        </w:tc>
        <w:tc>
          <w:tcPr>
            <w:tcW w:type="dxa" w:w="158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CURRENT operationally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DB/Auth data</w:t>
            </w:r>
          </w:p>
        </w:tc>
        <w:tc>
          <w:tcPr>
            <w:tcW w:type="dxa" w:w="283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Role dostawców i DPA do review</w:t>
            </w:r>
          </w:p>
        </w:tc>
      </w:tr>
    </w:tbl>
    <w:p/>
    <w:p>
      <w:pPr>
        <w:pStyle w:val="Heading1"/>
      </w:pPr>
      <w:r>
        <w:t>4. Retencja - stan obecny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Obszar</w:t>
            </w:r>
          </w:p>
        </w:tc>
        <w:tc>
          <w:tcPr>
            <w:tcW w:type="dxa" w:w="3005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Delete path</w:t>
            </w:r>
          </w:p>
        </w:tc>
        <w:tc>
          <w:tcPr>
            <w:tcW w:type="dxa" w:w="181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Auto-expiry</w:t>
            </w:r>
          </w:p>
        </w:tc>
        <w:tc>
          <w:tcPr>
            <w:tcW w:type="dxa" w:w="2891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Decyzja potrzebna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cart_items</w:t>
            </w:r>
          </w:p>
        </w:tc>
        <w:tc>
          <w:tcPr>
            <w:tcW w:type="dxa" w:w="300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remove / clear / successful checkout</w:t>
            </w:r>
          </w:p>
        </w:tc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 dla porzuconych rekordów</w:t>
            </w:r>
          </w:p>
        </w:tc>
        <w:tc>
          <w:tcPr>
            <w:tcW w:type="dxa" w:w="289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Okres + trigger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orders</w:t>
            </w:r>
          </w:p>
        </w:tc>
        <w:tc>
          <w:tcPr>
            <w:tcW w:type="dxa" w:w="300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 ogólnego mechanizmu retencji znalezionego w audycie</w:t>
            </w:r>
          </w:p>
        </w:tc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</w:t>
            </w:r>
          </w:p>
        </w:tc>
        <w:tc>
          <w:tcPr>
            <w:tcW w:type="dxa" w:w="289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Okres + archiwizacja/usunięcie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rfq_leads</w:t>
            </w:r>
          </w:p>
        </w:tc>
        <w:tc>
          <w:tcPr>
            <w:tcW w:type="dxa" w:w="300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 ogólnego mechanizmu retencji znalezionego w audycie</w:t>
            </w:r>
          </w:p>
        </w:tc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</w:t>
            </w:r>
          </w:p>
        </w:tc>
        <w:tc>
          <w:tcPr>
            <w:tcW w:type="dxa" w:w="289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Okres + trigger od zamknięcia leadu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clicks</w:t>
            </w:r>
          </w:p>
        </w:tc>
        <w:tc>
          <w:tcPr>
            <w:tcW w:type="dxa" w:w="300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 ogólnego mechanizmu retencji znalezionego w audycie</w:t>
            </w:r>
          </w:p>
        </w:tc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Brak</w:t>
            </w:r>
          </w:p>
        </w:tc>
        <w:tc>
          <w:tcPr>
            <w:tcW w:type="dxa" w:w="289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Okres dla analytics/billing evidence</w:t>
            </w:r>
          </w:p>
        </w:tc>
      </w:tr>
      <w:tr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auth/account</w:t>
            </w:r>
          </w:p>
        </w:tc>
        <w:tc>
          <w:tcPr>
            <w:tcW w:type="dxa" w:w="300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Poza repo / vendor-dependent</w:t>
            </w:r>
          </w:p>
        </w:tc>
        <w:tc>
          <w:tcPr>
            <w:tcW w:type="dxa" w:w="181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Nieustalone</w:t>
            </w:r>
          </w:p>
        </w:tc>
        <w:tc>
          <w:tcPr>
            <w:tcW w:type="dxa" w:w="289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Polityka kont i logów</w:t>
            </w:r>
          </w:p>
        </w:tc>
      </w:tr>
    </w:tbl>
    <w:p/>
    <w:p>
      <w:pPr>
        <w:pStyle w:val="Heading1"/>
      </w:pPr>
      <w:r>
        <w:t>5. B2B eligibility - stan obecny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Kontrola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Stan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CURRENT_B2B_ELIGIBILITY_CHECK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NOT_IMPLEMENTED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COMPANY_NAME_REQUIRED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YES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NIP_FIELD_PRESENT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VIES_CURRENTLY_USED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BUSINESS_DECLARATION_PRESENT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AUTHENTICATED_BUSINESS_IDENTITY_PRESENT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NO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LEGAL_BUYER_CLASSIFICATION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PENDING_LEGAL_COUNSEL</w:t>
            </w:r>
          </w:p>
        </w:tc>
      </w:tr>
    </w:tbl>
    <w:p/>
    <w:p>
      <w:pPr>
        <w:pStyle w:val="Heading1"/>
      </w:pPr>
      <w:r>
        <w:t>6. Vendor / infrastruktura - fakty i niewiadome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Repozytorium używa Node pg/Drizzle oraz DATABASE_URL; dostawca bazy nie jest na stałe zakodowany.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Operacyjne środowisko projektu korzysta z Supabase - to fakt środowiskowy Ownera, nie wyłączny wniosek z db.ts.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Supabase Auth jest bezpośrednio używany przez loginUser.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VENDOR_DPA_STATUS=NOT_VERIFIED.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SUBPROCESSOR_REGISTER_STATUS=NOT_VERIFIED.</w:t>
      </w:r>
    </w:p>
    <w:p>
      <w:pPr>
        <w:pStyle w:val="ListBullet"/>
        <w:ind w:left="0"/>
      </w:pPr>
      <w:r>
        <w:rPr>
          <w:rFonts w:ascii="Aptos" w:hAnsi="Aptos"/>
          <w:color w:val="141C2C"/>
          <w:sz w:val="20"/>
        </w:rPr>
        <w:t>THIRD_COUNTRY_TRANSFER_STATUS=NOT_DETERMINED.</w:t>
      </w:r>
    </w:p>
    <w:p>
      <w:pPr>
        <w:pStyle w:val="Heading1"/>
      </w:pPr>
      <w:r>
        <w:t>7. Pytania dla DPO / kancelarii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Jaka podstawa prawna ma zastosowanie do każdej operacji przetwarzania osobno?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Jakie informacje z art. 13 RODO LogiMarket musi przekazywać przy bezpośredniej kolekcji danych w RFQ i Checkout?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Jeżeli Partner otrzyma dane kupującego od LogiMarket, jakie obowiązki z art. 14 powstaną po stronie Partnera i/lub LogiMarket?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Czy zgoda jest wymagana dla któregokolwiek obecnego celu przetwarzania? Jeżeli tak - dla którego dokładnie, i czy wymaga osobnego checkboxa?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Jakie okresy i triggery retencji należy zastosować osobno dla RFQ, orders, cart_items, clicks i auth/account records?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Jakie role (administrator / procesor / współadministrator) mają zastosowanie per processing activity, a nie globalnie do relacji LogiMarket-Partner?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Jakie umowy/uzgodnienia są wymagane z dostawcami infrastruktury oraz między LogiMarket i Partnerem w konkretnych przepływach?</w:t>
      </w:r>
    </w:p>
    <w:p>
      <w:pPr>
        <w:pStyle w:val="ListNumber"/>
      </w:pPr>
      <w:r>
        <w:rPr>
          <w:rFonts w:ascii="Aptos" w:hAnsi="Aptos"/>
          <w:color w:val="141C2C"/>
          <w:sz w:val="20"/>
        </w:rPr>
        <w:t>Jaka metodologia kwalifikacji B2B jest wystarczająca dla e-commerce PL i RFQ PL+UE bez opierania statusu wyłącznie na NIP/VIES?</w:t>
      </w:r>
    </w:p>
    <w:p>
      <w:pPr>
        <w:pStyle w:val="Heading1"/>
      </w:pPr>
      <w:r>
        <w:t>8. Oczekiwana macierz decyzji DPO/kancelarii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249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Przykład wartości</w:t>
            </w:r>
          </w:p>
        </w:tc>
        <w:tc>
          <w:tcPr>
            <w:tcW w:type="dxa" w:w="1701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Kto decyduje</w:t>
            </w:r>
          </w:p>
        </w:tc>
        <w:tc>
          <w:tcPr>
            <w:tcW w:type="dxa" w:w="2721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PROCESSING_ACTIVITY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ACT-01 Checkout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DPO/Legal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Jedna decyzja per aktywność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LOGIMARKET_ROLE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controller / processor / joint controller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Legal/DPO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Nie zakładać z góry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PARTNER_ROLE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controller / processor / N/A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Legal/DPO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Dla future disclosure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LEGAL_BASIS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Art. 6(...)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Legal/DPO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Per cel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ART13/14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required + zakres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Legal/DPO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Direct vs indirect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RETENTION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okres + trigger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Legal/DPO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Konfigurowalny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DPA/ART26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required / not required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Legal/DPO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Per relacja</w:t>
            </w:r>
          </w:p>
        </w:tc>
      </w:tr>
      <w:tr>
        <w:tc>
          <w:tcPr>
            <w:tcW w:type="dxa" w:w="238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TRANSFER</w:t>
            </w:r>
          </w:p>
        </w:tc>
        <w:tc>
          <w:tcPr>
            <w:tcW w:type="dxa" w:w="24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EEA / third-country mechanism</w:t>
            </w:r>
          </w:p>
        </w:tc>
        <w:tc>
          <w:tcPr>
            <w:tcW w:type="dxa" w:w="170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Legal/DPO</w:t>
            </w:r>
          </w:p>
        </w:tc>
        <w:tc>
          <w:tcPr>
            <w:tcW w:type="dxa" w:w="272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Po vendor review</w:t>
            </w:r>
          </w:p>
        </w:tc>
      </w:tr>
    </w:tbl>
    <w:p/>
    <w:p>
      <w:pPr>
        <w:pStyle w:val="Heading1"/>
      </w:pPr>
      <w:r>
        <w:t>9. Readiness po opinii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0F0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Aktualny gate</w:t>
              <w:br/>
            </w:r>
            <w:r>
              <w:rPr>
                <w:rFonts w:ascii="Aptos" w:hAnsi="Aptos"/>
                <w:color w:val="141C2C"/>
                <w:sz w:val="19"/>
              </w:rPr>
              <w:t>Evidence pack jest gotowy do review, ale gate nie jest zamknięty. Po otrzymaniu opinii należy uzupełnić LEG-MKT-09 i OMQ-MKT-11, a następnie przeprowadzić osobny readiness review przed zmianami schematu.</w:t>
            </w:r>
          </w:p>
        </w:tc>
      </w:tr>
    </w:tbl>
    <w:p/>
    <w:p>
      <w:pPr>
        <w:pStyle w:val="Heading1"/>
      </w:pPr>
      <w:r>
        <w:t>Źródła i status materiału</w:t>
      </w:r>
    </w:p>
    <w:p>
      <w:r>
        <w:rPr>
          <w:rFonts w:ascii="Aptos" w:hAnsi="Aptos"/>
          <w:b/>
          <w:color w:val="141C2C"/>
        </w:rPr>
        <w:t xml:space="preserve">Źródła projektowe: </w:t>
      </w:r>
      <w:r>
        <w:rPr>
          <w:rFonts w:ascii="Aptos" w:hAnsi="Aptos"/>
          <w:color w:val="141C2C"/>
        </w:rPr>
        <w:t>aktualny branch main repozytorium oraz zatwierdzone decyzje Ownera z pakietów 56C1/56C2. Poniższe pliki służą jako traceability, nie jako treść do bezpośredniego wdrożenia przez kancelarię.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src/lib/schema.ts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src/app/actions.ts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src/lib/checkout/contact-schema.ts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src/lib/checkout/checkout-core.ts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src/components/CheckoutModal.tsx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src/components/RfqDialog.tsx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src/lib/session/session-hash.ts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src/app/go/[id]/route.ts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src/lib/outbound/outbound-core.ts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src/lib/auth/guards.ts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docs/domain/lm-marketplace-validation-56c0-gate-register.md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LM-MARKETPLACE-PRIVACY-56C2-R2 - zatwierdzony Owner Review</w:t>
      </w:r>
    </w:p>
    <w:p>
      <w:r>
        <w:rPr>
          <w:rFonts w:ascii="Aptos" w:hAnsi="Aptos"/>
          <w:b/>
          <w:color w:val="141C2C"/>
        </w:rPr>
        <w:t xml:space="preserve">Akty / materiały prawne do weryfikacji przez kancelarię: 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2016/679 (RODO/GDPR), w szczególności obowiązki informacyjne, role i rejestr czynności.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EDPB Guidelines 07/2020 on the concepts of controller and processor in the GDPR - final version.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2022/2065 (DSA) - tylko w zakresie ewentualnych danych/obowiązków powiązanych z kwalifikacją platformy.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6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Zastrzeżenie</w:t>
              <w:br/>
            </w:r>
            <w:r>
              <w:rPr>
                <w:rFonts w:ascii="Aptos" w:hAnsi="Aptos"/>
                <w:color w:val="141C2C"/>
                <w:sz w:val="19"/>
              </w:rPr>
              <w:t>Dokument porządkuje założenia i pytania. Nie przesądza kwalifikacji prawnej, podatkowej, płatniczej ani RODO. Kancelaria/DPO powinni wskazać podstawę prawną, zakres stosowania, wyjątki i wymagane korekty.</w:t>
            </w:r>
          </w:p>
        </w:tc>
      </w:tr>
    </w:tbl>
    <w:p/>
    <w:p>
      <w:pPr>
        <w:pStyle w:val="LMSmall"/>
      </w:pPr>
      <w:r>
        <w:t>Wersja: Counsel Pack v1.0 | Data przygotowania: 2026-08-09 | Evidence-only; role i podstawy prawne są celowo niezamknięte.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B6472"/>
        <w:sz w:val="16"/>
      </w:rPr>
      <w:t>03 GDPR Data Flow Pack  •  Confidential / roboczy materiał do weryfikacji</w:t>
    </w:r>
  </w:p>
  <w:p>
    <w:pPr>
      <w:jc w:val="right"/>
    </w:pPr>
    <w:r>
      <w:rPr>
        <w:rFonts w:ascii="Aptos" w:hAnsi="Aptos"/>
        <w:color w:val="5B6472"/>
        <w:sz w:val="16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1C2C"/>
        <w:sz w:val="16"/>
      </w:rPr>
      <w:t>LOGIMARKET.EU  |  LEGAL COUNSEL REVIEW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C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474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41C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C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MSmall">
    <w:name w:val="LM Small"/>
    <w:rPr>
      <w:rFonts w:ascii="Aptos" w:hAnsi="Aptos"/>
      <w:color w:val="5B647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