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nter" w:hAnsi="Inter"/>
          <w:b/>
          <w:color w:val="141C2C"/>
          <w:sz w:val="50"/>
        </w:rPr>
        <w:t>LOGIMARKET.</w:t>
      </w:r>
      <w:r>
        <w:rPr>
          <w:rFonts w:ascii="Inter" w:hAnsi="Inter"/>
          <w:b/>
          <w:color w:val="147487"/>
          <w:sz w:val="50"/>
        </w:rPr>
        <w:t>EU</w:t>
      </w:r>
    </w:p>
    <w:p>
      <w:pPr>
        <w:jc w:val="right"/>
      </w:pPr>
      <w:r>
        <w:rPr>
          <w:rFonts w:ascii="Inter" w:hAnsi="Inter"/>
          <w:b w:val="0"/>
          <w:color w:val="5E6673"/>
          <w:sz w:val="17"/>
        </w:rPr>
        <w:t>9 sierpnia 2026 r.</w:t>
      </w:r>
    </w:p>
    <w:p>
      <w:pPr>
        <w:pStyle w:val="Title"/>
      </w:pPr>
      <w:r>
        <w:t>Prośba o finalną erratę do opinii prawnej</w:t>
      </w:r>
    </w:p>
    <w:p>
      <w:r>
        <w:rPr>
          <w:rFonts w:ascii="Inter" w:hAnsi="Inter"/>
          <w:b/>
          <w:color w:val="141C2C"/>
          <w:sz w:val="19"/>
        </w:rPr>
        <w:t xml:space="preserve">Dotyczy: </w:t>
      </w:r>
      <w:r>
        <w:rPr>
          <w:rFonts w:ascii="Inter" w:hAnsi="Inter"/>
          <w:b w:val="0"/>
          <w:color w:val="141C2C"/>
          <w:sz w:val="19"/>
        </w:rPr>
        <w:t>odpowiedzi kancelarii na „Final Correction Request” - dwa punkty wymagające korekty przed zamknięciem etapu Legal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0F0F0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Inter" w:hAnsi="Inter"/>
                <w:b/>
                <w:color w:val="141C2C"/>
                <w:sz w:val="19"/>
              </w:rPr>
              <w:t>Cel niniejszego pisma</w:t>
              <w:br/>
            </w:r>
            <w:r>
              <w:rPr>
                <w:rFonts w:ascii="Inter" w:hAnsi="Inter"/>
                <w:b w:val="0"/>
                <w:color w:val="141C2C"/>
                <w:sz w:val="18"/>
              </w:rPr>
              <w:t>Nie otwieramy ponownie całej opinii. Prosimy wyłącznie o korektę dwóch wskazanych obszarów oraz potwierdzenie, że po ich skorygowaniu pozostała część Państwa finalnej odpowiedzi pozostaje aktualna.</w:t>
            </w:r>
          </w:p>
        </w:tc>
      </w:tr>
    </w:tbl>
    <w:p>
      <w:pPr>
        <w:spacing w:after="0"/>
      </w:pPr>
    </w:p>
    <w:p>
      <w:r>
        <w:rPr>
          <w:rFonts w:ascii="Inter" w:hAnsi="Inter"/>
          <w:b/>
          <w:color w:val="141C2C"/>
          <w:sz w:val="19"/>
        </w:rPr>
        <w:t>Szanowni Państwo,</w:t>
      </w:r>
    </w:p>
    <w:p>
      <w:r>
        <w:rPr>
          <w:rFonts w:ascii="Inter" w:hAnsi="Inter"/>
          <w:b w:val="0"/>
          <w:color w:val="141C2C"/>
          <w:sz w:val="18"/>
        </w:rPr>
        <w:t>dziękujemy za odpowiedź na Final Correction Request i skorygowanie kwalifikacji relacji LogiMarket-Partner oraz analizy art. 68² KC. Po końcowym wewnętrznym cross-checku aktualnego tekstu przepisów zidentyfikowaliśmy dwie niespójności, które mają bezpośrednie znaczenie dla przyszłej umowy partnerskiej oraz modelu B2B. Prosimy o wydanie krótkiej erraty wyłącznie w poniższym zakresie.</w:t>
      </w:r>
    </w:p>
    <w:p>
      <w:pPr>
        <w:pStyle w:val="Heading1"/>
      </w:pPr>
      <w:r>
        <w:t>1. LEG-MKT-01 - prawidłowa mapa przepisów o umowie agencyjnej</w:t>
      </w:r>
    </w:p>
    <w:p>
      <w:r>
        <w:rPr>
          <w:rFonts w:ascii="Inter" w:hAnsi="Inter"/>
          <w:b/>
          <w:color w:val="141C2C"/>
          <w:sz w:val="18"/>
        </w:rPr>
        <w:t xml:space="preserve">Co akceptujemy: </w:t>
      </w:r>
      <w:r>
        <w:rPr>
          <w:rFonts w:ascii="Inter" w:hAnsi="Inter"/>
          <w:b w:val="0"/>
          <w:color w:val="141C2C"/>
          <w:sz w:val="18"/>
        </w:rPr>
        <w:t>nie kwestionujemy już samego kierunku kwalifikacji relacji LogiMarket-Partner jako możliwej umowy agencyjnej w wariancie pośredniczącym z art. 758 §1 KC, bez umocowania do zawierania umów w imieniu Partnera.</w:t>
      </w:r>
    </w:p>
    <w:p>
      <w:r>
        <w:rPr>
          <w:rFonts w:ascii="Inter" w:hAnsi="Inter"/>
          <w:b/>
          <w:color w:val="141C2C"/>
          <w:sz w:val="18"/>
        </w:rPr>
        <w:t xml:space="preserve">Co wymaga erraty: </w:t>
      </w:r>
      <w:r>
        <w:rPr>
          <w:rFonts w:ascii="Inter" w:hAnsi="Inter"/>
          <w:b w:val="0"/>
          <w:color w:val="141C2C"/>
          <w:sz w:val="18"/>
        </w:rPr>
        <w:t>w tabeli „Zakres zastosowania przepisów o agencji” przypisano kilku artykułom skutki, które nie odpowiadają ich rzeczywistej treści. Ma to znaczenie praktyczne, ponieważ tabela ma być później źródłem dla umowy partnerskiej.</w:t>
      </w:r>
    </w:p>
    <w:p>
      <w:pPr>
        <w:pStyle w:val="Heading2"/>
      </w:pPr>
      <w:r>
        <w:t>Prosimy o zweryfikowanie i zastąpienie tabeli poprawną mapą, w szczególności: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00"/>
      </w:tblGrid>
      <w:tr>
        <w:tc>
          <w:tcPr>
            <w:tcW w:type="dxa" w:w="5071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Przepis</w:t>
            </w:r>
          </w:p>
        </w:tc>
        <w:tc>
          <w:tcPr>
            <w:tcW w:type="dxa" w:w="5071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Zakres do potwierdzenia przez kancelarię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758² KC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pisemne potwierdzenie treści umowy i jej zmian; nie zwrot wydatków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759 KC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domniemane uprawnienia agenta do określonych czynności/odbioru świadczeń i oświadczeń; nie ogólny obowiązek poufności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760 KC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obowiązek lojalności obu stron; nie ustawowy zakaz konkurencji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761 i nast.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system prawa do prowizji i jej rozliczania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761⁷ KC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prowizja del credere: odpowiedzialność agenta za wykonanie zobowiązania klienta tylko po odrębnym pisemnym zastrzeżeniu, w uzgodnionym zakresie i za odrębnym wynagrodzeniem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762 KC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zwrot wydatków w ustawowo określonym zakresie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763 KC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ustawowe prawo zastawu agenta; nie automatyczna odpowiedzialność za „solidność kontrahenta”</w:t>
            </w:r>
          </w:p>
        </w:tc>
      </w:tr>
      <w:tr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art. 764-764⁸ KC</w:t>
            </w:r>
          </w:p>
        </w:tc>
        <w:tc>
          <w:tcPr>
            <w:tcW w:type="dxa" w:w="720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top"/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odrębne zasady: kontynuacja umowy terminowej, wypowiedzenie, rozwiązanie bez terminów, świadczenie wyrównawcze i ograniczenie konkurencji po rozwiązaniu</w:t>
            </w:r>
          </w:p>
        </w:tc>
      </w:tr>
    </w:tbl>
    <w:p>
      <w:r>
        <w:rPr>
          <w:rFonts w:ascii="Inter" w:hAnsi="Inter"/>
          <w:b/>
          <w:color w:val="141C2C"/>
          <w:sz w:val="18"/>
        </w:rPr>
        <w:t>Prosimy odpowiedzieć jednoznacznie: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Czy LogiMarket, bez pisemnej klauzuli del credere i bez odrębnego wynagrodzenia, nie ponosi na podstawie art. 761⁷ KC odpowiedzialności za wykonanie zobowiązania przez Kupującego wobec Partnera?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Które przepisy dotyczące umowy agencyjnej są w planowanym modelu bezwzględnie lub semiimperatywnie wiążące i muszą zostać uwzględnione w umowie partnerskiej?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Jakie są prawidłowe zasady rozwiązania umowy i świadczenia wyrównawczego, ze wskazaniem właściwych jednostek redakcyjnych art. 764 i nast. KC?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Czy po tej korekcie LEG-MKT-01 pozostaje APPROVED_WITH_CONDITIONS?</w:t>
      </w:r>
    </w:p>
    <w:p>
      <w:pPr>
        <w:pStyle w:val="Heading1"/>
      </w:pPr>
      <w:r>
        <w:t>2. LEG-MKT-08 - zakres praw JDG przy transakcji niezawodowej</w:t>
      </w:r>
    </w:p>
    <w:p>
      <w:r>
        <w:rPr>
          <w:rFonts w:ascii="Inter" w:hAnsi="Inter"/>
          <w:b/>
          <w:color w:val="141C2C"/>
          <w:sz w:val="18"/>
        </w:rPr>
        <w:t xml:space="preserve">Co akceptujemy: </w:t>
      </w:r>
      <w:r>
        <w:rPr>
          <w:rFonts w:ascii="Inter" w:hAnsi="Inter"/>
          <w:b w:val="0"/>
          <w:color w:val="141C2C"/>
          <w:sz w:val="18"/>
        </w:rPr>
        <w:t>podział na: A - konsument, B - przedsiębiorca będący osobą fizyczną zawierający umowę bezpośrednio związaną z działalnością, ale bez charakteru zawodowego, C - zwykła transakcja zawodowa B2B.</w:t>
      </w:r>
    </w:p>
    <w:p>
      <w:r>
        <w:rPr>
          <w:rFonts w:ascii="Inter" w:hAnsi="Inter"/>
          <w:b/>
          <w:color w:val="141C2C"/>
          <w:sz w:val="18"/>
        </w:rPr>
        <w:t xml:space="preserve">Co wymaga erraty: </w:t>
      </w:r>
      <w:r>
        <w:rPr>
          <w:rFonts w:ascii="Inter" w:hAnsi="Inter"/>
          <w:b w:val="0"/>
          <w:color w:val="141C2C"/>
          <w:sz w:val="18"/>
        </w:rPr>
        <w:t>w odpowiedzi przypisano kategorii B m.in. obowiązki informacyjne z art. 8-10 ustawy o prawach konsumenta oraz ADR jako skutek art. 7aa. Aktualne brzmienie art. 7aa odsyła natomiast do praw konsumenta zawartych w rozdziałach 4, 5a i 5b tej ustawy. Niezależnie od tego art. 385⁵ KC odrębnie rozszerza na tę kategorię ochronę przed niedozwolonymi postanowieniami umownymi.</w:t>
      </w:r>
    </w:p>
    <w:p>
      <w:pPr>
        <w:pStyle w:val="Heading2"/>
      </w:pPr>
      <w:r>
        <w:t>Prosimy o finalną, zamkniętą macierz praw kategorii B: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które uprawnienia wynikają bezpośrednio z art. 7aa ustawy o prawach konsumenta (z rozdziałów 4, 5a i - jeśli relewantne - 5b);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które uprawnienia wynikają odrębnie z art. 385⁵ KC;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czy obowiązki informacyjne z art. 8-10 lub inne obowiązki spoza rozdziałów wskazanych w art. 7aa mają zastosowanie - a jeżeli tak, prosimy wskazać ich odrębną podstawę prawną;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czy wskazana wcześniej procedura ADR rzeczywiście ma zastosowanie do kategorii B i na jakiej odrębnej podstawie prawnej;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jaki minimalny zestaw praw musi zostać obsłużony przez Partnera/LogiMarket, jeżeli mimo B2B gatingu transakcja zostanie zakwalifikowana do kategorii B;</w:t>
      </w:r>
    </w:p>
    <w:p>
      <w:pPr>
        <w:ind w:left="272" w:hanging="130"/>
      </w:pPr>
      <w:r>
        <w:rPr>
          <w:rFonts w:ascii="Inter" w:hAnsi="Inter"/>
          <w:b/>
          <w:color w:val="147487"/>
          <w:sz w:val="18"/>
        </w:rPr>
        <w:t xml:space="preserve">• </w:t>
      </w:r>
      <w:r>
        <w:rPr>
          <w:rFonts w:ascii="Inter" w:hAnsi="Inter"/>
          <w:b w:val="0"/>
          <w:color w:val="141C2C"/>
          <w:sz w:val="18"/>
        </w:rPr>
        <w:t>czy po tej korekcie LEG-MKT-08 pozostaje APPROVED_WITH_CONDITIONS.</w:t>
      </w:r>
    </w:p>
    <w:p>
      <w:pPr>
        <w:pStyle w:val="Heading1"/>
      </w:pPr>
      <w:r>
        <w:t>3. Oczekiwany format odpowiedzi i zamknięcie etapu</w:t>
      </w:r>
    </w:p>
    <w:p>
      <w:r>
        <w:rPr>
          <w:rFonts w:ascii="Inter" w:hAnsi="Inter"/>
          <w:b w:val="0"/>
          <w:color w:val="141C2C"/>
          <w:sz w:val="18"/>
        </w:rPr>
        <w:t>Prosimy o odpowiedź maksymalnie w formie krótkiej erraty, bez ponownego przepisywania całej opinii. Dla każdego z dwóch punktów prosimy podać: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5071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Oczekiwana odpowiedź</w:t>
            </w:r>
          </w:p>
        </w:tc>
      </w:tr>
      <w:tr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POSITION</w:t>
            </w:r>
          </w:p>
        </w:tc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CONFIRMED / CORRECTED</w:t>
            </w:r>
          </w:p>
        </w:tc>
      </w:tr>
      <w:tr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LEGAL BASIS</w:t>
            </w:r>
          </w:p>
        </w:tc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właściwe przepisy w aktualnym brzmieniu</w:t>
            </w:r>
          </w:p>
        </w:tc>
      </w:tr>
      <w:tr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CORRECTED CONCLUSION</w:t>
            </w:r>
          </w:p>
        </w:tc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jednoznaczny tekst zastępujący błędny fragment poprzedniej odpowiedzi</w:t>
            </w:r>
          </w:p>
        </w:tc>
      </w:tr>
      <w:tr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IMPACT</w:t>
            </w:r>
          </w:p>
        </w:tc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czy pozostała część odpowiedzi kancelarii z 9.08.2026 r. pozostaje bez zmian</w:t>
            </w:r>
          </w:p>
        </w:tc>
      </w:tr>
      <w:tr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F7F9FA"/>
          </w:tcPr>
          <w:p>
            <w:r>
              <w:rPr>
                <w:rFonts w:ascii="Inter" w:hAnsi="Inter"/>
                <w:b/>
                <w:color w:val="141C2C"/>
                <w:sz w:val="16"/>
              </w:rPr>
              <w:t>GATE STATUS</w:t>
            </w:r>
          </w:p>
        </w:tc>
        <w:tc>
          <w:tcPr>
            <w:tcW w:type="dxa" w:w="507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Inter" w:hAnsi="Inter"/>
                <w:b w:val="0"/>
                <w:color w:val="141C2C"/>
                <w:sz w:val="16"/>
              </w:rPr>
              <w:t>LEG-MKT-01 i LEG-MKT-08 po erracie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0F0F0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Inter" w:hAnsi="Inter"/>
                <w:b/>
                <w:color w:val="141C2C"/>
                <w:sz w:val="19"/>
              </w:rPr>
              <w:t>Po otrzymaniu erraty</w:t>
              <w:br/>
            </w:r>
            <w:r>
              <w:rPr>
                <w:rFonts w:ascii="Inter" w:hAnsi="Inter"/>
                <w:b w:val="0"/>
                <w:color w:val="141C2C"/>
                <w:sz w:val="18"/>
              </w:rPr>
              <w:t>Jeżeli oba punkty zostaną jednoznacznie skorygowane i kancelaria potwierdzi aktualność pozostałej części opinii, uznamy Workstream Legal Counsel za zamknięty. DPO sign-off oraz DAC7/Tax będą kontynuowane jako odrębne ścieżki. Decyzja o LM_MARKETPLACE_SCHEMA_56B1_READY zostanie podjęta dopiero w osobnym Owner/Engineering Readiness Review.</w:t>
            </w:r>
          </w:p>
        </w:tc>
      </w:tr>
    </w:tbl>
    <w:p>
      <w:pPr>
        <w:spacing w:after="0"/>
      </w:pPr>
    </w:p>
    <w:p>
      <w:pPr>
        <w:spacing w:before="80" w:after="100"/>
      </w:pPr>
      <w:r>
        <w:rPr>
          <w:rFonts w:ascii="Inter" w:hAnsi="Inter"/>
          <w:sz w:val="16"/>
        </w:rPr>
        <w:t>Materiały referencyjne: KC - Dz.U. 2026 poz. 795 (art. 758-764⁸ i art. 385⁵); ustawa o prawach konsumenta - Dz.U. 2024 poz. 1796 t.j. (art. 7aa; rozdziały 4, 5a, 5b).</w:t>
      </w:r>
    </w:p>
    <w:p>
      <w:pPr>
        <w:keepNext/>
      </w:pPr>
      <w:r>
        <w:rPr>
          <w:rFonts w:ascii="Inter" w:hAnsi="Inter"/>
          <w:b w:val="0"/>
          <w:color w:val="141C2C"/>
          <w:sz w:val="18"/>
        </w:rPr>
        <w:t>Z poważaniem,</w:t>
      </w:r>
    </w:p>
    <w:p>
      <w:pPr>
        <w:keepNext/>
      </w:pPr>
      <w:r>
        <w:rPr>
          <w:rFonts w:ascii="Inter" w:hAnsi="Inter"/>
          <w:b/>
          <w:color w:val="141C2C"/>
          <w:sz w:val="20"/>
        </w:rPr>
        <w:t>Piotr Fiszer</w:t>
      </w:r>
    </w:p>
    <w:p>
      <w:r>
        <w:rPr>
          <w:rFonts w:ascii="Inter" w:hAnsi="Inter"/>
          <w:b w:val="0"/>
          <w:color w:val="5E6673"/>
          <w:sz w:val="17"/>
        </w:rPr>
        <w:t>LogiMarket | logimarket.eu | logimarket.pl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1049" w:bottom="709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5E6673"/>
        <w:sz w:val="14"/>
      </w:rPr>
      <w:t>LogiMarket Marketplace B2B | 9 sierpnia 2026 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141C2C"/>
        <w:sz w:val="15"/>
      </w:rPr>
      <w:t>LOGIMARKET.EU | FINAL LEGAL ERRATA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Inter" w:hAnsi="Inte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Inter" w:hAnsi="Inter"/>
      <w:b/>
      <w:bCs/>
      <w:color w:val="141C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Inter" w:hAnsi="Inter"/>
      <w:b/>
      <w:bCs/>
      <w:color w:val="14748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41C2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