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Inter" w:hAnsi="Inter"/>
          <w:b/>
          <w:color w:val="141C2C"/>
          <w:sz w:val="54"/>
        </w:rPr>
        <w:t>LOGIMARKET</w:t>
      </w:r>
      <w:r>
        <w:rPr>
          <w:rFonts w:ascii="Inter" w:hAnsi="Inter"/>
          <w:b/>
          <w:color w:val="147487"/>
          <w:sz w:val="54"/>
        </w:rPr>
        <w:t>.EU</w:t>
      </w:r>
    </w:p>
    <w:p>
      <w:pPr>
        <w:jc w:val="right"/>
      </w:pPr>
      <w:r>
        <w:rPr>
          <w:rFonts w:ascii="Inter" w:hAnsi="Inter"/>
          <w:b w:val="0"/>
          <w:color w:val="5B6472"/>
          <w:sz w:val="18"/>
        </w:rPr>
        <w:t>9 sierpnia 2026 r.</w:t>
      </w:r>
    </w:p>
    <w:p>
      <w:pPr>
        <w:pStyle w:val="Title"/>
      </w:pPr>
      <w:r>
        <w:t>Odpowiedzi na pytania uzupełniające i prośba o finalne potwierdzenie opinii</w:t>
      </w:r>
    </w:p>
    <w:p>
      <w:r>
        <w:rPr>
          <w:rFonts w:ascii="Inter" w:hAnsi="Inter"/>
          <w:b w:val="0"/>
          <w:color w:val="5B6472"/>
          <w:sz w:val="21"/>
        </w:rPr>
        <w:t>Dotyczy: wstępna opinia prawna do Correction &amp; Confirmation Memo R2.1</w:t>
      </w:r>
    </w:p>
    <w:p>
      <w:r>
        <w:rPr>
          <w:rFonts w:ascii="Inter" w:hAnsi="Inter"/>
          <w:b/>
          <w:color w:val="141C2C"/>
          <w:sz w:val="20"/>
        </w:rPr>
        <w:t>Szanowni Państwo,</w:t>
      </w:r>
    </w:p>
    <w:p>
      <w:r>
        <w:rPr>
          <w:rFonts w:ascii="Inter" w:hAnsi="Inter"/>
          <w:b w:val="0"/>
          <w:color w:val="141C2C"/>
          <w:sz w:val="19"/>
        </w:rPr>
        <w:t>Dziękujemy za przekazaną wstępną opinię prawną dotyczącą modelu LogiMarket Marketplace B2B.</w:t>
      </w:r>
    </w:p>
    <w:p>
      <w:r>
        <w:rPr>
          <w:rFonts w:ascii="Inter" w:hAnsi="Inter"/>
          <w:b w:val="0"/>
          <w:color w:val="141C2C"/>
          <w:sz w:val="19"/>
        </w:rPr>
        <w:t>Po jej otrzymaniu przeprowadziliśmy wewnętrzny przegląd konsekwencji dla architektury systemu, modelu danych i planowanych procesów marketplace. Zasadniczy model biznesowy pozostaje bez zmian: Partner ma być sprzedawcą towaru, LogiMarket ma działać jako platforma pośrednicząca, nie będzie nabywać towarów, wystawiać faktur za towar ani prowadzić self-custody/escrow środków.</w:t>
      </w:r>
    </w:p>
    <w:p>
      <w:r>
        <w:rPr>
          <w:rFonts w:ascii="Inter" w:hAnsi="Inter"/>
          <w:b w:val="0"/>
          <w:color w:val="141C2C"/>
          <w:sz w:val="19"/>
        </w:rPr>
        <w:t>Poniżej przekazujemy odpowiedzi na Państwa pytania uzupełniające oraz kwestie, które prosimy jeszcze doprecyzować przed wydaniem finalnej opinii.</w:t>
      </w:r>
    </w:p>
    <w:p>
      <w:pPr>
        <w:pStyle w:val="Heading1"/>
      </w:pPr>
      <w:r>
        <w:t>1. Odpowiedzi na pytania uzupełniające kancelarii</w:t>
      </w:r>
    </w:p>
    <w:p>
      <w:pPr>
        <w:pStyle w:val="Heading2"/>
      </w:pPr>
      <w:r>
        <w:t>1.1. KSeF - miesięczna wartość sprzedaży fakturowanej</w:t>
      </w:r>
    </w:p>
    <w:tbl>
      <w:tblPr>
        <w:tblW w:type="auto" w:w="0"/>
        <w:jc w:val="left"/>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Odpowiedź Ownera</w:t>
              <w:br/>
            </w:r>
            <w:r>
              <w:rPr>
                <w:rFonts w:ascii="Inter" w:hAnsi="Inter"/>
                <w:b w:val="0"/>
                <w:color w:val="141C2C"/>
                <w:sz w:val="18"/>
              </w:rPr>
              <w:t>Zakładamy, że miesięczna sprzedaż dokumentowana fakturami będzie prawdopodobnie powyżej 10 000 zł brutto.</w:t>
            </w:r>
          </w:p>
        </w:tc>
      </w:tr>
    </w:tbl>
    <w:p/>
    <w:p>
      <w:r>
        <w:rPr>
          <w:rFonts w:ascii="Inter" w:hAnsi="Inter"/>
          <w:b w:val="0"/>
          <w:color w:val="141C2C"/>
          <w:sz w:val="19"/>
        </w:rPr>
        <w:t>Na potrzeby finalnej opinii prosimy przyjąć wariant ostrożnościowy: próg 10 000 zł brutto miesięcznie może zostać przekroczony. Prosimy zatem wskazać obowiązki LogiMarket przy założeniu, że przejściowe zwolnienie dla najmniejszych podatników nie będzie dostępne, oraz potwierdzić, czy własna integracja API KSeF jest konieczna, czy obowiązek może być prawidłowo realizowany przez biuro rachunkowe, program księgowy lub oficjalne narzędzia KSeF.</w:t>
      </w:r>
    </w:p>
    <w:p>
      <w:pPr>
        <w:pStyle w:val="Heading2"/>
      </w:pPr>
      <w:r>
        <w:t>1.2. DAC7 - Partnerzy giełdowi/publiczni</w:t>
      </w:r>
    </w:p>
    <w:tbl>
      <w:tblPr>
        <w:tblW w:type="auto" w:w="0"/>
        <w:jc w:val="left"/>
        <w:tblLook w:firstColumn="1" w:firstRow="1" w:lastColumn="0" w:lastRow="0" w:noHBand="0" w:noVBand="1" w:val="04A0"/>
      </w:tblPr>
      <w:tblGrid>
        <w:gridCol w:w="10200"/>
      </w:tblGrid>
      <w:tr>
        <w:tc>
          <w:tcPr>
            <w:tcW w:type="dxa" w:w="10200"/>
            <w:shd w:fill="F0F0F0"/>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Odpowiedź Ownera</w:t>
              <w:br/>
            </w:r>
            <w:r>
              <w:rPr>
                <w:rFonts w:ascii="Inter" w:hAnsi="Inter"/>
                <w:b w:val="0"/>
                <w:color w:val="141C2C"/>
                <w:sz w:val="18"/>
              </w:rPr>
              <w:t>Na obecnym etapie nie mamy zidentyfikowanych Partnerów będących spółkami giełdowymi ani podmiotami rządowymi/publicznymi.</w:t>
            </w:r>
          </w:p>
        </w:tc>
      </w:tr>
    </w:tbl>
    <w:p/>
    <w:p>
      <w:r>
        <w:rPr>
          <w:rFonts w:ascii="Inter" w:hAnsi="Inter"/>
          <w:b w:val="0"/>
          <w:color w:val="141C2C"/>
          <w:sz w:val="19"/>
        </w:rPr>
        <w:t>Jeżeli w przyszłości taki Partner się pojawi, jego status zostanie zweryfikowany indywidualnie przed klasyfikacją raportową. Prosimy jednocześnie o rozdzielenie oceny DAC7 dla: e-commerce marketplace, RFQ kończącego się potencjalnie poza platformą oraz outbound/referral przez /go/[id].</w:t>
      </w:r>
    </w:p>
    <w:p>
      <w:pPr>
        <w:pStyle w:val="Heading2"/>
      </w:pPr>
      <w:r>
        <w:t>1.3. Przyszłe B2C</w:t>
      </w:r>
    </w:p>
    <w:tbl>
      <w:tblPr>
        <w:tblW w:type="auto" w:w="0"/>
        <w:jc w:val="left"/>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B2B_ONLY</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YES</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B2C_IN_CURRENT_MVP</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NO</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Future B2C</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Wyłącznie po odrębnym legal/domain readiness review.</w:t>
            </w:r>
          </w:p>
        </w:tc>
      </w:tr>
    </w:tbl>
    <w:p/>
    <w:p>
      <w:pPr>
        <w:pStyle w:val="Heading2"/>
      </w:pPr>
      <w:r>
        <w:t>1.4. Infrastruktura / Supabase</w:t>
      </w:r>
    </w:p>
    <w:p>
      <w:r>
        <w:rPr>
          <w:rFonts w:ascii="Inter" w:hAnsi="Inter"/>
          <w:b w:val="0"/>
          <w:color w:val="141C2C"/>
          <w:sz w:val="19"/>
        </w:rPr>
        <w:t>Operacyjnie projekt korzysta z Supabase. DPA, subprocesorzy, regiony przetwarzania oraz transfery nie są jeszcze formalnie zamknięte. Prosimy wskazać dokładny zestaw dokumentów/evidence, które powinny zostać zgromadzone dla DPO i compliance.</w:t>
      </w:r>
    </w:p>
    <w:p>
      <w:pPr>
        <w:pStyle w:val="Heading2"/>
      </w:pPr>
      <w:r>
        <w:t>1.5. Umowa partnerska</w:t>
      </w:r>
    </w:p>
    <w:p>
      <w:r>
        <w:rPr>
          <w:rFonts w:ascii="Inter" w:hAnsi="Inter"/>
          <w:b w:val="0"/>
          <w:color w:val="141C2C"/>
          <w:sz w:val="19"/>
        </w:rPr>
        <w:t>Nie traktujemy obecnie żadnego dokumentu jako finalnie zatwierdzonego wzorca umowy partnerskiej gotowego do produkcyjnego użycia. Po zamknięciu gate'ów chcemy przygotować możliwie krótką, praktyczną umowę partnerską i regulamin marketplace.</w:t>
      </w:r>
    </w:p>
    <w:p>
      <w:pPr>
        <w:pStyle w:val="Heading2"/>
      </w:pPr>
      <w:r>
        <w:t>1.6. Treści sponsorowane / ranking</w:t>
      </w:r>
    </w:p>
    <w:tbl>
      <w:tblPr>
        <w:tblW w:type="auto" w:w="0"/>
        <w:jc w:val="left"/>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PAID_RANKING</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NO</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AUTOMATED_PARTNER_SCORING</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NO</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SPONSORED_PLACEMENTS_IN_MVP</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NO</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Current ranking</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manualny / redakcyjny</w:t>
            </w:r>
          </w:p>
        </w:tc>
      </w:tr>
    </w:tbl>
    <w:p/>
    <w:p>
      <w:pPr>
        <w:pStyle w:val="Heading1"/>
      </w:pPr>
      <w:r>
        <w:t>2. Punkty wymagające doprecyzowania w finalnej opinii</w:t>
      </w:r>
    </w:p>
    <w:p>
      <w:pPr>
        <w:pStyle w:val="Heading2"/>
      </w:pPr>
      <w:r>
        <w:t>2.1. LEG-MKT-01 - agencja a umowa usługowa</w:t>
      </w:r>
    </w:p>
    <w:p>
      <w:r>
        <w:rPr>
          <w:rFonts w:ascii="Inter" w:hAnsi="Inter"/>
          <w:b w:val="0"/>
          <w:color w:val="141C2C"/>
          <w:sz w:val="19"/>
        </w:rPr>
        <w:t>W opinii wskazano, że model agencyjny nie znajduje pełnego zastosowania, ponieważ LogiMarket nie będzie zawierał umów w imieniu Partnera. Prosimy o doprecyzowanie, czy i w jakim zakresie relacja LogiMarket-Partner może mimo to mieścić się w wariancie pośredniczącym umowy agencyjnej z art. 758 §1 KC, przy stałej współpracy, pośredniczeniu w transakcjach i success fee, ale bez umocowania do zawierania umów w imieniu Partnera. Jeżeli rekomendują Państwo umowę nienazwaną o świadczenie usług platformowych, prosimy wskazać przesłanki odróżniające model od agencji i konsekwencje tej kwalifikacji.</w:t>
      </w:r>
    </w:p>
    <w:p>
      <w:pPr>
        <w:pStyle w:val="Heading2"/>
      </w:pPr>
      <w:r>
        <w:t>2.2. LEG-MKT-02 - jawna akceptacja E7 i brak skutku milczenia</w:t>
      </w:r>
    </w:p>
    <w:p>
      <w:r>
        <w:rPr>
          <w:rFonts w:ascii="Inter" w:hAnsi="Inter"/>
          <w:b w:val="0"/>
          <w:color w:val="141C2C"/>
          <w:sz w:val="19"/>
        </w:rPr>
        <w:t>Podtrzymujemy docelowy model E2 -&gt; E3 -&gt; E6 -&gt; E7 -&gt; zawarcie umowy -&gt; capture. Prosimy o uwzględnienie art. 69 KC w zakresie przystąpienia do wykonania oraz art. 68² KC dotyczącego stałych stosunków gospodarczych przedsiębiorców. Prosimy potwierdzić skuteczność postanowienia, zgodnie z którym brak odpowiedzi Partnera nie stanowi przyjęcia oferty, a zawarcie umowy wymaga jawnego SellerAcceptanceDecision zarejestrowanego w systemie.</w:t>
      </w:r>
    </w:p>
    <w:p>
      <w:pPr>
        <w:pStyle w:val="Heading2"/>
      </w:pPr>
      <w:r>
        <w:t>2.3. DSA - centralnie kuratorowany model ofert</w:t>
      </w:r>
    </w:p>
    <w:p>
      <w:r>
        <w:rPr>
          <w:rFonts w:ascii="Inter" w:hAnsi="Inter"/>
          <w:b w:val="0"/>
          <w:color w:val="141C2C"/>
          <w:sz w:val="19"/>
        </w:rPr>
        <w:t>Obecny MVP jest centralnie kuratorowany przez LogiMarket; nie działa nieograniczony self-service Partner Portal. Prosimy określić, kiedy oferta jest informacją Partnera przechowywaną na jego żądanie, a kiedy treścią redakcyjną LogiMarket utworzoną na podstawie materiałów Partnera. Prosimy potwierdzić, czy klasyfikacja DSA powinna być globalna czy per funkcjonalność/content flow. Dodatkowo prosimy skorygować finalną opinię: DSA Terms and Conditions = art. 14, nie art. 13.</w:t>
      </w:r>
    </w:p>
    <w:p>
      <w:pPr>
        <w:pStyle w:val="Heading2"/>
      </w:pPr>
      <w:r>
        <w:t>2.4. LEG-MKT-08 - przedsiębiorca korzystający z ochrony konsumenckiej</w:t>
      </w:r>
    </w:p>
    <w:p>
      <w:r>
        <w:rPr>
          <w:rFonts w:ascii="Inter" w:hAnsi="Inter"/>
          <w:b w:val="0"/>
          <w:color w:val="141C2C"/>
          <w:sz w:val="19"/>
        </w:rPr>
        <w:t>Prosimy rozszerzyć analizę o osobę fizyczną prowadzącą działalność, gdy transakcja jest bezpośrednio związana z działalnością, ale nie ma dla niej charakteru zawodowego. Prosimy odpowiedzieć, czy status należy oceniać per transakcja, czy potrzebne jest dodatkowe oświadczenie o zawodowym charakterze zakupu, jakie prawa należy zapewnić i czy LogiMarket może biznesowo ograniczyć e-commerce wyłącznie do transakcji o charakterze zawodowym.</w:t>
      </w:r>
    </w:p>
    <w:p>
      <w:pPr>
        <w:pStyle w:val="Heading2"/>
      </w:pPr>
      <w:r>
        <w:t>2.5. LEG-MKT-03 - klasyfikacja seller disclosure</w:t>
      </w:r>
    </w:p>
    <w:p>
      <w:r>
        <w:rPr>
          <w:rFonts w:ascii="Inter" w:hAnsi="Inter"/>
          <w:b w:val="0"/>
          <w:color w:val="141C2C"/>
          <w:sz w:val="19"/>
        </w:rPr>
        <w:t>Prosimy przypisać każde pole seller disclosure do jednej kategorii: LEGAL_REQUIRED / CONTRACTUALLY_REQUIRED / RECOMMENDED_BEST_PRACTICE / INTERNAL_KYB_ONLY. Dotyczy to w szczególności NIP/VAT ID, adresu, e-maila, telefonu, KRS/REGON, informacji o fakturowaniu, dostawie i reklamacjach. Nie chcemy projektować wszystkich danych jako obowiązkowo publicznych, jeśli część jest wyłącznie rekomendacją lub KYB.</w:t>
      </w:r>
    </w:p>
    <w:p>
      <w:pPr>
        <w:pStyle w:val="Heading1"/>
      </w:pPr>
      <w:r>
        <w:t>3. Dodatkowe prośby o doprecyzowanie</w:t>
      </w:r>
    </w:p>
    <w:p>
      <w:pPr>
        <w:pStyle w:val="Heading2"/>
      </w:pPr>
      <w:r>
        <w:t>3.1. VAT prowizji dla Partnera UE</w:t>
      </w:r>
    </w:p>
    <w:p>
      <w:r>
        <w:rPr>
          <w:rFonts w:ascii="Inter" w:hAnsi="Inter"/>
          <w:b w:val="0"/>
          <w:color w:val="141C2C"/>
          <w:sz w:val="19"/>
        </w:rPr>
        <w:t>Prosimy o potwierdzenie prawidłowego sposobu opisu i oznaczenia na fakturze/systemie. Jeżeli miejsce świadczenia znajduje się u usługobiorcy i polski VAT nie jest naliczany, prosimy nie używać skrótu '0% + reverse charge', jeżeli technicznie prawidłowe jest oznaczenie usługi jako niepodlegającej polskiemu VAT z rozliczeniem podatku przez odbiorcę.</w:t>
      </w:r>
    </w:p>
    <w:p>
      <w:pPr>
        <w:pStyle w:val="Heading2"/>
      </w:pPr>
      <w:r>
        <w:t>3.2. DAC7 - rozdzielenie ścieżek</w:t>
      </w:r>
    </w:p>
    <w:p>
      <w:pPr>
        <w:pStyle w:val="ListBullet"/>
      </w:pPr>
      <w:r>
        <w:rPr>
          <w:rFonts w:ascii="Inter" w:hAnsi="Inter"/>
          <w:b w:val="0"/>
          <w:color w:val="141C2C"/>
          <w:sz w:val="19"/>
        </w:rPr>
        <w:t>Marketplace e-commerce - LogiMarket zna wartość i liczbę transakcji.</w:t>
      </w:r>
    </w:p>
    <w:p>
      <w:pPr>
        <w:pStyle w:val="ListBullet"/>
      </w:pPr>
      <w:r>
        <w:rPr>
          <w:rFonts w:ascii="Inter" w:hAnsi="Inter"/>
          <w:b w:val="0"/>
          <w:color w:val="141C2C"/>
          <w:sz w:val="19"/>
        </w:rPr>
        <w:t>RFQ - finalna sprzedaż może zostać zawarta poza platformą i jej wartość może być nieznana LogiMarket.</w:t>
      </w:r>
    </w:p>
    <w:p>
      <w:pPr>
        <w:pStyle w:val="ListBullet"/>
      </w:pPr>
      <w:r>
        <w:rPr>
          <w:rFonts w:ascii="Inter" w:hAnsi="Inter"/>
          <w:b w:val="0"/>
          <w:color w:val="141C2C"/>
          <w:sz w:val="19"/>
        </w:rPr>
        <w:t>Outbound /go/[id] - LogiMarket zna referral/click, ale nie finalną sprzedaż.</w:t>
      </w:r>
    </w:p>
    <w:p>
      <w:r>
        <w:rPr>
          <w:rFonts w:ascii="Inter" w:hAnsi="Inter"/>
          <w:b w:val="0"/>
          <w:color w:val="141C2C"/>
          <w:sz w:val="19"/>
        </w:rPr>
        <w:t>Prosimy wskazać, które z tych ścieżek generują obowiązek raportowy i jakie dane są wymagane.</w:t>
      </w:r>
    </w:p>
    <w:p>
      <w:pPr>
        <w:pStyle w:val="Heading2"/>
      </w:pPr>
      <w:r>
        <w:t>3.3. Cookie / art. 399 PKE</w:t>
      </w:r>
    </w:p>
    <w:p>
      <w:r>
        <w:rPr>
          <w:rFonts w:ascii="Inter" w:hAnsi="Inter"/>
          <w:b w:val="0"/>
          <w:color w:val="141C2C"/>
          <w:sz w:val="19"/>
        </w:rPr>
        <w:t>Prosimy o ocenę konkretnego 30-dniowego cookie koszyka bez automatycznego założenia, że sam czas retencji przesądza o obowiązku zgody. Prosimy ocenić, czy zapamiętanie koszyka między wizytami jest konieczne do konkretnej usługi żądanej przez użytkownika, czy jest funkcją dodatkowej wygody.</w:t>
      </w:r>
    </w:p>
    <w:tbl>
      <w:tblPr>
        <w:tblW w:type="auto" w:w="0"/>
        <w:jc w:val="left"/>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HttpOnly</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YES</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SameSite</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Lax</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Secure</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YES in production</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HTTPS/HSTS</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do weryfikacji produkcyjnej</w:t>
            </w:r>
          </w:p>
        </w:tc>
      </w:tr>
    </w:tbl>
    <w:p/>
    <w:p>
      <w:r>
        <w:rPr>
          <w:rFonts w:ascii="Inter" w:hAnsi="Inter"/>
          <w:b w:val="0"/>
          <w:color w:val="141C2C"/>
          <w:sz w:val="19"/>
        </w:rPr>
        <w:t>Prosimy potraktować brak jawnej flagi Secure jako security remediation; kwalifikację tego stanu jako naruszenia art. 32 prosimy oceniać w kontekście całego środowiska bezpieczeństwa.</w:t>
      </w:r>
    </w:p>
    <w:p>
      <w:pPr>
        <w:pStyle w:val="Heading1"/>
      </w:pPr>
      <w:r>
        <w:t>4. Oczekiwany finalny wynik</w:t>
      </w:r>
    </w:p>
    <w:p>
      <w:r>
        <w:rPr>
          <w:rFonts w:ascii="Inter" w:hAnsi="Inter"/>
          <w:b w:val="0"/>
          <w:color w:val="141C2C"/>
          <w:sz w:val="19"/>
        </w:rPr>
        <w:t>Po uwzględnieniu powyższych informacji prosimy o finalną wersję opinii oraz zaktualizowany gate register. Preferujemy odpowiedź per gate w poniższym formacie:</w:t>
      </w:r>
    </w:p>
    <w:p>
      <w:r>
        <w:br w:type="page"/>
      </w:r>
    </w:p>
    <w:tbl>
      <w:tblPr>
        <w:tblW w:type="auto" w:w="0"/>
        <w:jc w:val="left"/>
        <w:tblLook w:firstColumn="1" w:firstRow="1" w:lastColumn="0" w:lastRow="0" w:noHBand="0" w:noVBand="1" w:val="04A0"/>
      </w:tblPr>
      <w:tblGrid>
        <w:gridCol w:w="5100"/>
        <w:gridCol w:w="5100"/>
      </w:tblGrid>
      <w:tr>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Pole</w:t>
            </w:r>
          </w:p>
        </w:tc>
        <w:tc>
          <w:tcPr>
            <w:tcW w:type="dxa" w:w="5100"/>
            <w:shd w:fill="141C2C"/>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color w:val="FFFFFF"/>
                <w:sz w:val="16"/>
              </w:rPr>
              <w:t>Treść</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GATE_ID</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LEG-MKT / OMQ-MKT / DSA / TAX</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Werdykt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APPROVED / APPROVED_WITH_CONDITIONS / NOT_APPLICABLE / MORE_FACTS_REQUIRED</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Podstawa prawna</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przepis / regulacja / orzecznictwo</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Warunki</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warunki obowiązywania werdyktu</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Regulatory impact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regulamin / Partner Agreement / privacy</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Product impact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UI/UX</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Data impact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pola / snapshoty / retencja</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Transaction impact</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statusy / payment / acceptance</w:t>
            </w:r>
          </w:p>
        </w:tc>
      </w:tr>
      <w:tr>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shd w:fill="F0F0F0"/>
          </w:tcPr>
          <w:p>
            <w:r>
              <w:rPr>
                <w:rFonts w:ascii="Inter" w:hAnsi="Inter"/>
                <w:b/>
                <w:color w:val="141C2C"/>
                <w:sz w:val="16"/>
              </w:rPr>
              <w:t>Reviewer</w:t>
            </w:r>
          </w:p>
        </w:tc>
        <w:tc>
          <w:tcPr>
            <w:tcW w:type="dxa" w:w="5100"/>
            <w:tcBorders>
              <w:top w:val="single" w:sz="4" w:color="D7DCE2"/>
              <w:left w:val="single" w:sz="4" w:color="D7DCE2"/>
              <w:bottom w:val="single" w:sz="4" w:color="D7DCE2"/>
              <w:right w:val="single" w:sz="4" w:color="D7DCE2"/>
              <w:insideH w:val="single" w:sz="4" w:color="D7DCE2"/>
              <w:insideV w:val="single" w:sz="4" w:color="D7DCE2"/>
            </w:tcBorders>
            <w:tcMar>
              <w:top w:w="90" w:type="dxa"/>
              <w:start w:w="100" w:type="dxa"/>
              <w:bottom w:w="90" w:type="dxa"/>
              <w:end w:w="100" w:type="dxa"/>
            </w:tcMar>
          </w:tcPr>
          <w:p>
            <w:r>
              <w:rPr>
                <w:rFonts w:ascii="Inter" w:hAnsi="Inter"/>
                <w:b w:val="0"/>
                <w:color w:val="141C2C"/>
                <w:sz w:val="17"/>
              </w:rPr>
              <w:t>imię, funkcja, data</w:t>
            </w:r>
          </w:p>
        </w:tc>
      </w:tr>
    </w:tbl>
    <w:p/>
    <w:tbl>
      <w:tblPr>
        <w:tblW w:type="auto" w:w="0"/>
        <w:jc w:val="left"/>
        <w:tblLook w:firstColumn="1" w:firstRow="1" w:lastColumn="0" w:lastRow="0" w:noHBand="0" w:noVBand="1" w:val="04A0"/>
      </w:tblPr>
      <w:tblGrid>
        <w:gridCol w:w="10200"/>
      </w:tblGrid>
      <w:tr>
        <w:tc>
          <w:tcPr>
            <w:tcW w:type="dxa" w:w="10200"/>
            <w:shd w:fill="FFF6E5"/>
            <w:tcBorders>
              <w:top w:val="single" w:sz="7" w:color="147487"/>
              <w:left w:val="single" w:sz="7" w:color="147487"/>
              <w:bottom w:val="single" w:sz="7" w:color="147487"/>
              <w:right w:val="single" w:sz="7" w:color="147487"/>
              <w:insideH w:val="single" w:sz="7" w:color="147487"/>
              <w:insideV w:val="single" w:sz="7" w:color="147487"/>
            </w:tcBorders>
            <w:tcMar>
              <w:top w:w="120" w:type="dxa"/>
              <w:start w:w="130" w:type="dxa"/>
              <w:bottom w:w="120" w:type="dxa"/>
              <w:end w:w="130" w:type="dxa"/>
            </w:tcMar>
          </w:tcPr>
          <w:p>
            <w:r>
              <w:rPr>
                <w:rFonts w:ascii="Inter" w:hAnsi="Inter"/>
                <w:b/>
                <w:color w:val="141C2C"/>
                <w:sz w:val="18"/>
              </w:rPr>
              <w:t>Readiness</w:t>
              <w:br/>
            </w:r>
            <w:r>
              <w:rPr>
                <w:rFonts w:ascii="Inter" w:hAnsi="Inter"/>
                <w:b w:val="0"/>
                <w:color w:val="141C2C"/>
                <w:sz w:val="18"/>
              </w:rPr>
              <w:t>Opinia kancelarii nie uruchamia automatycznie implementacji. Po finalnej odpowiedzi przeprowadzimy osobny Owner/Engineering Readiness Review. Do tego czasu: LM_MARKETPLACE_SCHEMA_56B1_READY=NO.</w:t>
            </w:r>
          </w:p>
        </w:tc>
      </w:tr>
    </w:tbl>
    <w:p/>
    <w:p>
      <w:r>
        <w:rPr>
          <w:rFonts w:ascii="Inter" w:hAnsi="Inter"/>
          <w:b w:val="0"/>
          <w:color w:val="141C2C"/>
          <w:sz w:val="19"/>
        </w:rPr>
        <w:t>Dziękujemy za dotychczasową analizę i prosimy o finalne odniesienie się do powyższych kwestii.</w:t>
      </w:r>
    </w:p>
    <w:p>
      <w:r>
        <w:rPr>
          <w:rFonts w:ascii="Inter" w:hAnsi="Inter"/>
          <w:b w:val="0"/>
          <w:color w:val="141C2C"/>
          <w:sz w:val="19"/>
        </w:rPr>
        <w:t>Z poważaniem,</w:t>
      </w:r>
    </w:p>
    <w:p>
      <w:r>
        <w:rPr>
          <w:rFonts w:ascii="Inter" w:hAnsi="Inter"/>
          <w:b/>
          <w:color w:val="141C2C"/>
          <w:sz w:val="20"/>
        </w:rPr>
        <w:t>Piotr Fiszer</w:t>
      </w:r>
    </w:p>
    <w:p>
      <w:r>
        <w:rPr>
          <w:rFonts w:ascii="Inter" w:hAnsi="Inter"/>
          <w:b w:val="0"/>
          <w:color w:val="5B6472"/>
          <w:sz w:val="17"/>
        </w:rPr>
        <w:t>LogiMarket | logimarket.eu | logimarket.pl</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Inter" w:hAnsi="Inter"/>
        <w:b w:val="0"/>
        <w:color w:val="5B6472"/>
        <w:sz w:val="15"/>
      </w:rPr>
      <w:t>Final response after preliminary legal opinion | 2026-08-09</w:t>
    </w:r>
  </w:p>
  <w:p>
    <w:pPr>
      <w:jc w:val="right"/>
    </w:pPr>
    <w:r>
      <w:rPr>
        <w:rFonts w:ascii="Inter" w:hAnsi="Inter"/>
        <w:b w:val="0"/>
        <w:color w:val="5B6472"/>
        <w:sz w:val="16"/>
      </w:rPr>
      <w:t xml:space="preserve">Strona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b/>
        <w:color w:val="141C2C"/>
        <w:sz w:val="16"/>
      </w:rPr>
      <w:t>LOGIMARKET.EU | ODPOWIEDZ DO KANCELARII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Inter" w:hAnsi="Inter"/>
      <w:b/>
      <w:bCs/>
      <w:color w:val="141C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47487"/>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b/>
      <w:color w:val="141C2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