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rFonts w:ascii="Aptos Display" w:hAnsi="Aptos Display"/>
          <w:b/>
          <w:color w:val="141C2C"/>
          <w:sz w:val="60"/>
        </w:rPr>
        <w:t>LOGIMARKET</w:t>
      </w:r>
      <w:r>
        <w:rPr>
          <w:rFonts w:ascii="Aptos Display" w:hAnsi="Aptos Display"/>
          <w:b/>
          <w:color w:val="147487"/>
          <w:sz w:val="60"/>
        </w:rPr>
        <w:t>.EU</w:t>
      </w:r>
    </w:p>
    <w:p>
      <w:pPr>
        <w:spacing w:after="200"/>
      </w:pPr>
      <w:r>
        <w:rPr>
          <w:rFonts w:ascii="Aptos" w:hAnsi="Aptos"/>
          <w:b/>
          <w:color w:val="147487"/>
          <w:sz w:val="18"/>
        </w:rPr>
        <w:t>DOKUMENT 02</w:t>
      </w:r>
    </w:p>
    <w:p>
      <w:pPr>
        <w:pStyle w:val="Title"/>
      </w:pPr>
      <w:r>
        <w:t>LogiMarket Marketplace - Legal Decision Pack</w:t>
      </w:r>
    </w:p>
    <w:p>
      <w:pPr>
        <w:spacing w:after="360"/>
      </w:pPr>
      <w:r>
        <w:rPr>
          <w:rFonts w:ascii="Aptos" w:hAnsi="Aptos"/>
          <w:color w:val="5B6472"/>
          <w:sz w:val="24"/>
        </w:rPr>
        <w:t>Pytania wymagające formalnej opinii kancelarii przed odblokowaniem schematu 56B1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3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41C2C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350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9"/>
              </w:rPr>
              <w:t>MATERIAŁ DO WERYFIKACJI PRAWNEJ</w:t>
            </w:r>
          </w:p>
        </w:tc>
      </w:tr>
      <w:tr>
        <w:tc>
          <w:tcPr>
            <w:tcW w:type="dxa" w:w="243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41C2C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Projekt</w:t>
            </w:r>
          </w:p>
        </w:tc>
        <w:tc>
          <w:tcPr>
            <w:tcW w:type="dxa" w:w="6350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9"/>
              </w:rPr>
              <w:t>logimarket.eu / marketplace B2B</w:t>
            </w:r>
          </w:p>
        </w:tc>
      </w:tr>
      <w:tr>
        <w:tc>
          <w:tcPr>
            <w:tcW w:type="dxa" w:w="243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41C2C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Baseline techniczny</w:t>
            </w:r>
          </w:p>
        </w:tc>
        <w:tc>
          <w:tcPr>
            <w:tcW w:type="dxa" w:w="6350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9"/>
              </w:rPr>
              <w:t>main @ cd1de62625f6a95bb0ed8e651ab40b3544e41a5d</w:t>
            </w:r>
          </w:p>
        </w:tc>
      </w:tr>
    </w:tbl>
    <w:p/>
    <w:p>
      <w:r>
        <w:rPr>
          <w:rFonts w:ascii="Aptos" w:hAnsi="Aptos"/>
          <w:b/>
          <w:color w:val="141C2C"/>
        </w:rPr>
        <w:t xml:space="preserve">Cel: </w:t>
      </w:r>
      <w:r>
        <w:rPr>
          <w:rFonts w:ascii="Aptos" w:hAnsi="Aptos"/>
          <w:color w:val="5B6472"/>
        </w:rPr>
        <w:t>przekazanie kancelarii i/lub DPO uporządkowanych faktów biznesowych, technicznych oraz pytań wymagających formalnej opinii. Dokument nie stanowi opinii prawnej.</w:t>
      </w:r>
    </w:p>
    <w:p>
      <w:r>
        <w:br w:type="page"/>
      </w:r>
    </w:p>
    <w:p>
      <w:pPr>
        <w:pStyle w:val="Heading1"/>
      </w:pPr>
      <w:r>
        <w:t>1. Cel i oczekiwany rezultat</w:t>
      </w:r>
    </w:p>
    <w:p>
      <w:r>
        <w:t>Celem jest uzyskanie pisemnych, jednoznacznych odpowiedzi na otwarte bramki prawne, które blokują fizyczny model danych i finalną logikę transakcyjną. Kancelaria proszona jest o wskazanie: kwalifikacji prawnej, podstawy prawnej, ewentualnych wyjątków, wymaganych zmian w modelu biznesowym oraz treści/obowiązków, które muszą zostać odzwierciedlone w regulaminach i produkcie.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0F0"/>
            <w:tcBorders>
              <w:top w:val="single" w:sz="8" w:color="147487"/>
              <w:left w:val="single" w:sz="8" w:color="147487"/>
              <w:bottom w:val="single" w:sz="8" w:color="147487"/>
              <w:right w:val="single" w:sz="8" w:color="147487"/>
              <w:insideH w:val="single" w:sz="8" w:color="147487"/>
              <w:insideV w:val="single" w:sz="8" w:color="14748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41C2C"/>
                <w:sz w:val="20"/>
              </w:rPr>
              <w:t>Stan wejściowy</w:t>
              <w:br/>
            </w:r>
            <w:r>
              <w:rPr>
                <w:rFonts w:ascii="Aptos" w:hAnsi="Aptos"/>
                <w:color w:val="141C2C"/>
                <w:sz w:val="19"/>
              </w:rPr>
              <w:t>Intermediary-first logical model jest zatwierdzony biznesowo, ale LEG-MKT-01/02/03/04/08/09 oraz OMQ-MKT-01/02/11 pozostają otwarte. LM_MARKETPLACE_SCHEMA_56B1_READY=NO.</w:t>
            </w:r>
          </w:p>
        </w:tc>
      </w:tr>
    </w:tbl>
    <w:p/>
    <w:p>
      <w:pPr>
        <w:pStyle w:val="Heading1"/>
      </w:pPr>
      <w:r>
        <w:t>2. Priorytetowe decyzje Workstream A</w:t>
      </w:r>
    </w:p>
    <w:p>
      <w:pPr>
        <w:pStyle w:val="Heading2"/>
      </w:pPr>
      <w:r>
        <w:t>LEG-MKT-01 - Rola prawna LogiMarket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Pytanie do kancelarii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Czy przy przyjętym modelu Partner = sprzedawca, LogiMarket może działać jako pośrednik/platforma bez stawania się stroną umowy sprzedaży? Jakie obowiązki i odpowiedzialności pozostają po stronie platformy?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Zatwierdzona intencja biznesowa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Partner ma być sprzedawcą kontraktowym; LogiMarket pośrednikiem/platformą.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Oczekiwany wynik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Prosimy wskazać kwalifikację modelu, wymagane zapisy regulaminowe/umowne oraz elementy modelu, które muszą zostać zmienione.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Status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PENDING_EXTERNAL_LEGAL_REVIEW</w:t>
            </w:r>
          </w:p>
        </w:tc>
      </w:tr>
    </w:tbl>
    <w:p/>
    <w:p>
      <w:pPr>
        <w:pStyle w:val="Heading2"/>
      </w:pPr>
      <w:r>
        <w:t>LEG-MKT-02 - Zawarcie umowy - e-commerce i RFQ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Pytanie do kancelarii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Jakie zdarzenia stanowią ofertę, przyjęcie oferty i moment zawarcia umowy w obu ścieżkach? Czy model oddzielający order intent od jawnej akceptacji Partnera może być prawidłowo skonstruowany?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Zatwierdzona intencja biznesowa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Checkout jako order intent / zamierzona oferta kupującego; jawna akceptacja Partnera. RFQ jako proces negocjacyjny.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Oczekiwany wynik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Prosimy o osobne mapowanie e-commerce i RFQ oraz rekomendowaną treść komunikatów/zastrzeżeń.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Status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PENDING_EXTERNAL_LEGAL_REVIEW</w:t>
            </w:r>
          </w:p>
        </w:tc>
      </w:tr>
    </w:tbl>
    <w:p/>
    <w:p>
      <w:pPr>
        <w:pStyle w:val="Heading2"/>
      </w:pPr>
      <w:r>
        <w:t>LEG-MKT-03 - Tożsamość sprzedawcy i disclosure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Pytanie do kancelarii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Jakie dane Partnera/sprzedawcy oraz zakres odpowiedzialności muszą być ujawnione kupującemu przed RFQ i przed złożeniem zamówienia e-commerce?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Zatwierdzona intencja biznesowa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Sprzedawca i jego rola mają być jawne przed konwersją; zakres pól do ustalenia.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Oczekiwany wynik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Prosimy o macierz pól, moment prezentacji, podstawę prawną i rozróżnienie danych publicznych od wewnętrznego KYB.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Status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PENDING_EXTERNAL_LEGAL_REVIEW</w:t>
            </w:r>
          </w:p>
        </w:tc>
      </w:tr>
    </w:tbl>
    <w:p/>
    <w:p>
      <w:pPr>
        <w:pStyle w:val="Heading2"/>
      </w:pPr>
      <w:r>
        <w:t>LEG-MKT-04 - P2B, ranking, moderacja, zawieszenie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Pytanie do kancelarii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Czy P2B ma zastosowanie przy planowanym B2B-only modelu? Jakie zasady partner terms, rankingu, ograniczeń, zawieszeń, reklamacji i mediacji należy przyjąć?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Zatwierdzona intencja biznesowa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Ranking i zawieszenia manualne w MVP; brak automatycznych kar/scoringu.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Oczekiwany wynik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Prosimy nie zakładać automatycznego zastosowania P2B; wskazać również zasady kontraktowe, jeśli P2B nie ma zastosowania.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Status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PENDING_EXTERNAL_LEGAL_REVIEW</w:t>
            </w:r>
          </w:p>
        </w:tc>
      </w:tr>
    </w:tbl>
    <w:p/>
    <w:p>
      <w:pPr>
        <w:pStyle w:val="Heading2"/>
      </w:pPr>
      <w:r>
        <w:t>DSA - Klasyfikacja DSA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Pytanie do kancelarii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Czy i w jakim zakresie funkcjonalności LogiMarket stanowią usługę pośrednią, hosting lub platformę internetową w rozumieniu DSA? Które obowiązki mają zastosowanie do MVP?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Zatwierdzona intencja biznesowa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Nie przesądzamy, czy DSA ma zastosowanie ani jaka jest klasyfikacja usługi.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Oczekiwany wynik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Prosimy o niezależną od P2B klasyfikację DSA, z uwzględnieniem manualnej moderacji i B2B-only.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Status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PENDING_EXTERNAL_LEGAL_REVIEW</w:t>
            </w:r>
          </w:p>
        </w:tc>
      </w:tr>
    </w:tbl>
    <w:p/>
    <w:p>
      <w:pPr>
        <w:pStyle w:val="Heading2"/>
      </w:pPr>
      <w:r>
        <w:t>LEG-MKT-08 - Skuteczne ograniczenie do B2B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Pytanie do kancelarii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Jak LogiMarket powinien identyfikować/kwalifikować kupującego jako przedsiębiorcę w Polsce i przy RFQ z UE? Czy samo companyName jest niewystarczające i jaki minimalny zestaw oświadczeń/weryfikacji jest wymagany?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Zatwierdzona intencja biznesowa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Platforma ma być B2B-only; obecnie brak realnego mechanizmu kwalifikacji B2B.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Oczekiwany wynik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Prosimy o metodologię nieopartą wyłącznie na NIP/VIES oraz wskazanie konsekwencji dla UI, danych i regulaminu.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Status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PENDING_EXTERNAL_LEGAL_REVIEW</w:t>
            </w:r>
          </w:p>
        </w:tc>
      </w:tr>
    </w:tbl>
    <w:p/>
    <w:p>
      <w:pPr>
        <w:pStyle w:val="Heading1"/>
      </w:pPr>
      <w:r>
        <w:t>3. E-commerce - mapa zdarzeń E1-E9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268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Zdarzenie</w:t>
            </w:r>
          </w:p>
        </w:tc>
        <w:tc>
          <w:tcPr>
            <w:tcW w:type="dxa" w:w="3402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Obecna intencja biznesowa</w:t>
            </w:r>
          </w:p>
        </w:tc>
        <w:tc>
          <w:tcPr>
            <w:tcW w:type="dxa" w:w="2608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Do kwalifikacji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E1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Koszyk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Brak skutku kontraktowego zakładanego przez biznes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Czy ma jakiekolwiek znaczenie prawne?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E2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Submit checkout / order intent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Zamierzona oferta/order intent kupującego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BUYER_OFFER?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E3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Potwierdzenie otrzymania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Potwierdzenie techniczne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Czy odrębne od acceptance?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E4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Inicjacja płatności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Element PSP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Skutek prawny?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E5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Preautoryzacja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Docelowy target płatniczy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Skutek dla kontraktu?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E6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Otrzymanie zamówienia przez Partnera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Operacyjne przekazanie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Skutek prawny?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E7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Jawna akceptacja Partnera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Wymagana przez biznes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SELLER_ACCEPTANCE / CONTRACT_FORMATION?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E8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Wysyłka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Fulfillment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Czy może mieć znaczenie zastępcze?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E9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Inne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Do wskazania przez kancelarię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Jeśli prawo wymaga innego zdarzenia</w:t>
            </w:r>
          </w:p>
        </w:tc>
      </w:tr>
    </w:tbl>
    <w:p/>
    <w:p>
      <w:pPr>
        <w:pStyle w:val="Heading1"/>
      </w:pPr>
      <w:r>
        <w:t>4. RFQ - mapa zdarzeń R1-R8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268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Zdarzenie</w:t>
            </w:r>
          </w:p>
        </w:tc>
        <w:tc>
          <w:tcPr>
            <w:tcW w:type="dxa" w:w="3402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Obecna intencja biznesowa</w:t>
            </w:r>
          </w:p>
        </w:tc>
        <w:tc>
          <w:tcPr>
            <w:tcW w:type="dxa" w:w="2608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Do kwalifikacji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R1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Złożenie RFQ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Zapytanie / rozpoczęcie negocjacji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Charakter prawny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R2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Otrzymanie RFQ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Routing platformowy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Znaczenie prawne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R3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Odpowiedź Partnera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Komunikacja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Charakter prawny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R4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Wycena/quotation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Domyślnie niewiążąca wg intencji Ownera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Czy i jak zapewnić niewiążący charakter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R5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Negocjacje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Rokowania B2B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Znaczenie prawne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R6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Akceptacja wyceny przez kupującego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Nie przesądzono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Skutek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R7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Potwierdzenie Partnera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Nie przesądzono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Skutek</w:t>
            </w:r>
          </w:p>
        </w:tc>
      </w:tr>
      <w:tr>
        <w:tc>
          <w:tcPr>
            <w:tcW w:type="dxa" w:w="794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5"/>
              </w:rPr>
              <w:t>R8</w:t>
            </w:r>
          </w:p>
        </w:tc>
        <w:tc>
          <w:tcPr>
            <w:tcW w:type="dxa" w:w="226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Inne</w:t>
            </w:r>
          </w:p>
        </w:tc>
        <w:tc>
          <w:tcPr>
            <w:tcW w:type="dxa" w:w="3402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Do wskazania przez kancelarię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5"/>
              </w:rPr>
              <w:t>Finalny moment umowy</w:t>
            </w:r>
          </w:p>
        </w:tc>
      </w:tr>
    </w:tbl>
    <w:p/>
    <w:p>
      <w:pPr>
        <w:pStyle w:val="Heading1"/>
      </w:pPr>
      <w:r>
        <w:t>5. Seller disclosure - oczekiwana macierz odpowiedzi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665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Pole / informacja</w:t>
            </w:r>
          </w:p>
        </w:tc>
        <w:tc>
          <w:tcPr>
            <w:tcW w:type="dxa" w:w="1757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RFQ przed submit</w:t>
            </w:r>
          </w:p>
        </w:tc>
        <w:tc>
          <w:tcPr>
            <w:tcW w:type="dxa" w:w="2041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E-commerce przed order</w:t>
            </w:r>
          </w:p>
        </w:tc>
        <w:tc>
          <w:tcPr>
            <w:tcW w:type="dxa" w:w="2608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Uwagi</w:t>
            </w:r>
          </w:p>
        </w:tc>
      </w:tr>
      <w:tr>
        <w:tc>
          <w:tcPr>
            <w:tcW w:type="dxa" w:w="266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Nazwa prawna sprzedawcy</w:t>
            </w:r>
          </w:p>
        </w:tc>
        <w:tc>
          <w:tcPr>
            <w:tcW w:type="dxa" w:w="1757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decyzji</w:t>
            </w:r>
          </w:p>
        </w:tc>
        <w:tc>
          <w:tcPr>
            <w:tcW w:type="dxa" w:w="204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decyzji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publicznie / wymagany moment</w:t>
            </w:r>
          </w:p>
        </w:tc>
      </w:tr>
      <w:tr>
        <w:tc>
          <w:tcPr>
            <w:tcW w:type="dxa" w:w="266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Identyfikatory rejestrowe</w:t>
            </w:r>
          </w:p>
        </w:tc>
        <w:tc>
          <w:tcPr>
            <w:tcW w:type="dxa" w:w="1757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decyzji</w:t>
            </w:r>
          </w:p>
        </w:tc>
        <w:tc>
          <w:tcPr>
            <w:tcW w:type="dxa" w:w="204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decyzji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np. NIP/KRS - nie przesądzamy</w:t>
            </w:r>
          </w:p>
        </w:tc>
      </w:tr>
      <w:tr>
        <w:tc>
          <w:tcPr>
            <w:tcW w:type="dxa" w:w="266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Adres / dane kontaktowe</w:t>
            </w:r>
          </w:p>
        </w:tc>
        <w:tc>
          <w:tcPr>
            <w:tcW w:type="dxa" w:w="1757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decyzji</w:t>
            </w:r>
          </w:p>
        </w:tc>
        <w:tc>
          <w:tcPr>
            <w:tcW w:type="dxa" w:w="204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decyzji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zakres publiczny vs KYB</w:t>
            </w:r>
          </w:p>
        </w:tc>
      </w:tr>
      <w:tr>
        <w:tc>
          <w:tcPr>
            <w:tcW w:type="dxa" w:w="266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Kto wystawia fakturę za towar</w:t>
            </w:r>
          </w:p>
        </w:tc>
        <w:tc>
          <w:tcPr>
            <w:tcW w:type="dxa" w:w="1757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decyzji</w:t>
            </w:r>
          </w:p>
        </w:tc>
        <w:tc>
          <w:tcPr>
            <w:tcW w:type="dxa" w:w="204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decyzji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Partner - intencja biznesowa</w:t>
            </w:r>
          </w:p>
        </w:tc>
      </w:tr>
      <w:tr>
        <w:tc>
          <w:tcPr>
            <w:tcW w:type="dxa" w:w="266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Kto realizuje dostawę</w:t>
            </w:r>
          </w:p>
        </w:tc>
        <w:tc>
          <w:tcPr>
            <w:tcW w:type="dxa" w:w="1757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decyzji</w:t>
            </w:r>
          </w:p>
        </w:tc>
        <w:tc>
          <w:tcPr>
            <w:tcW w:type="dxa" w:w="204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decyzji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Partner - intencja biznesowa</w:t>
            </w:r>
          </w:p>
        </w:tc>
      </w:tr>
      <w:tr>
        <w:tc>
          <w:tcPr>
            <w:tcW w:type="dxa" w:w="266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Kto obsługuje reklamację/zwrot</w:t>
            </w:r>
          </w:p>
        </w:tc>
        <w:tc>
          <w:tcPr>
            <w:tcW w:type="dxa" w:w="1757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decyzji</w:t>
            </w:r>
          </w:p>
        </w:tc>
        <w:tc>
          <w:tcPr>
            <w:tcW w:type="dxa" w:w="204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decyzji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Partner - intencja biznesowa</w:t>
            </w:r>
          </w:p>
        </w:tc>
      </w:tr>
      <w:tr>
        <w:tc>
          <w:tcPr>
            <w:tcW w:type="dxa" w:w="2665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6"/>
              </w:rPr>
              <w:t>Rola LogiMarket</w:t>
            </w:r>
          </w:p>
        </w:tc>
        <w:tc>
          <w:tcPr>
            <w:tcW w:type="dxa" w:w="1757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decyzji</w:t>
            </w:r>
          </w:p>
        </w:tc>
        <w:tc>
          <w:tcPr>
            <w:tcW w:type="dxa" w:w="2041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do decyzji</w:t>
            </w:r>
          </w:p>
        </w:tc>
        <w:tc>
          <w:tcPr>
            <w:tcW w:type="dxa" w:w="260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41C2C"/>
                <w:sz w:val="16"/>
              </w:rPr>
              <w:t>pośrednik/platforma - intencja biznesowa</w:t>
            </w:r>
          </w:p>
        </w:tc>
      </w:tr>
    </w:tbl>
    <w:p/>
    <w:p>
      <w:pPr>
        <w:pStyle w:val="Heading1"/>
      </w:pPr>
      <w:r>
        <w:t>6. Forma odpowiedzi kancelarii</w:t>
      </w:r>
    </w:p>
    <w:p>
      <w:r>
        <w:t>Dla każdego gate prosimy o odpowiedź w poniższym układzie: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Pole odpowiedzi</w:t>
            </w:r>
          </w:p>
        </w:tc>
        <w:tc>
          <w:tcPr>
            <w:tcW w:type="dxa" w:w="5100"/>
            <w:shd w:fill="141C2C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Wymaganie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GATE_ID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np. LEG-MKT-02 / OMQ-MKT-01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Werdykt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APPROVED / APPROVED_WITH_CONDITIONS / REJECTED / NOT_APPLICABLE / MORE_FACTS_REQUIRED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Podstawa prawna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przepis / akt / orzecznictwo / wytyczne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Zakres i warunki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kiedy kwalifikacja ma zastosowanie, wyjątki, terytorium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Wymagane zmiany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biznes / regulamin / UI / dane / proces / umowa Partnera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Minimalna treść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jeśli wymagane są konkretne klauzule lub komunikaty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Wpływ na 56B1/56B2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co można projektować po tej decyzji</w:t>
            </w:r>
          </w:p>
        </w:tc>
      </w:tr>
      <w:tr>
        <w:tc>
          <w:tcPr>
            <w:tcW w:type="dxa" w:w="2948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0F0F0"/>
          </w:tcPr>
          <w:p>
            <w:r>
              <w:rPr>
                <w:rFonts w:ascii="Aptos" w:hAnsi="Aptos"/>
                <w:b/>
                <w:color w:val="141C2C"/>
                <w:sz w:val="18"/>
              </w:rPr>
              <w:t>Reviewer</w:t>
            </w:r>
          </w:p>
        </w:tc>
        <w:tc>
          <w:tcPr>
            <w:tcW w:type="dxa" w:w="5953"/>
            <w:tcBorders>
              <w:top w:val="single" w:sz="4" w:color="D9DDE2"/>
              <w:left w:val="single" w:sz="4" w:color="D9DDE2"/>
              <w:bottom w:val="single" w:sz="4" w:color="D9DDE2"/>
              <w:right w:val="single" w:sz="4" w:color="D9DDE2"/>
              <w:insideH w:val="single" w:sz="4" w:color="D9DDE2"/>
              <w:insideV w:val="single" w:sz="4" w:color="D9DDE2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color w:val="141C2C"/>
                <w:sz w:val="18"/>
              </w:rPr>
              <w:t>imię, rola, data i załączniki</w:t>
            </w:r>
          </w:p>
        </w:tc>
      </w:tr>
    </w:tbl>
    <w:p/>
    <w:p>
      <w:pPr>
        <w:pStyle w:val="Heading1"/>
      </w:pPr>
      <w:r>
        <w:t>7. Status po otrzymaniu opinii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0F0"/>
            <w:tcBorders>
              <w:top w:val="single" w:sz="8" w:color="147487"/>
              <w:left w:val="single" w:sz="8" w:color="147487"/>
              <w:bottom w:val="single" w:sz="8" w:color="147487"/>
              <w:right w:val="single" w:sz="8" w:color="147487"/>
              <w:insideH w:val="single" w:sz="8" w:color="147487"/>
              <w:insideV w:val="single" w:sz="8" w:color="14748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41C2C"/>
                <w:sz w:val="20"/>
              </w:rPr>
              <w:t>Warunek odblokowania</w:t>
              <w:br/>
            </w:r>
            <w:r>
              <w:rPr>
                <w:rFonts w:ascii="Aptos" w:hAnsi="Aptos"/>
                <w:color w:val="141C2C"/>
                <w:sz w:val="19"/>
              </w:rPr>
              <w:t>Samo otrzymanie opinii nie uruchamia kodowania. Po wprowadzeniu decyzji do gate register wymagany jest osobny readiness review. Dopiero LM_MARKETPLACE_SCHEMA_56B1_READY=YES autoryzuje rozpoczęcie fizycznego schematu.</w:t>
            </w:r>
          </w:p>
        </w:tc>
      </w:tr>
    </w:tbl>
    <w:p/>
    <w:p>
      <w:pPr>
        <w:pStyle w:val="Heading1"/>
      </w:pPr>
      <w:r>
        <w:t>Źródła i status materiału</w:t>
      </w:r>
    </w:p>
    <w:p>
      <w:r>
        <w:rPr>
          <w:rFonts w:ascii="Aptos" w:hAnsi="Aptos"/>
          <w:b/>
          <w:color w:val="141C2C"/>
        </w:rPr>
        <w:t xml:space="preserve">Źródła projektowe: </w:t>
      </w:r>
      <w:r>
        <w:rPr>
          <w:rFonts w:ascii="Aptos" w:hAnsi="Aptos"/>
          <w:color w:val="141C2C"/>
        </w:rPr>
        <w:t>aktualny branch main repozytorium oraz zatwierdzone decyzje Ownera z pakietów 56C1/56C2. Poniższe pliki służą jako traceability, nie jako treść do bezpośredniego wdrożenia przez kancelarię.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docs/domain/lm-marketplace-validation-56c0-gate-register.md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docs/domain/lm-marketplace-validation-56c0-evidence-request-pack.md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docs/domain/lm-marketplace-domain-56a-r3-intermediary-contract.md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docs/domain/lm-marketplace-data-model-56b0-logical-model.md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LM-MARKETPLACE-LEGAL-56C1-R2 - zatwierdzony Owner Review</w:t>
      </w:r>
    </w:p>
    <w:p>
      <w:r>
        <w:rPr>
          <w:rFonts w:ascii="Aptos" w:hAnsi="Aptos"/>
          <w:b/>
          <w:color w:val="141C2C"/>
        </w:rPr>
        <w:t xml:space="preserve">Akty / materiały prawne do weryfikacji przez kancelarię: 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Kodeks cywilny - Dz.U. 2026 poz. 795 (aktualny tekst jednolity na dzień przygotowania pakietu).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Rozporządzenie (UE) 2019/1150 (P2B).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Rozporządzenie (UE) 2022/2065 (DSA).</w:t>
      </w:r>
    </w:p>
    <w:p>
      <w:pPr>
        <w:pStyle w:val="ListBullet"/>
      </w:pPr>
      <w:r>
        <w:rPr>
          <w:rFonts w:ascii="Aptos" w:hAnsi="Aptos"/>
          <w:color w:val="141C2C"/>
          <w:sz w:val="18"/>
        </w:rPr>
        <w:t>Rozporządzenie (UE) 2016/679 (RODO/GDPR) w zakresie powiązanym z disclosure i rolami.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6"/>
            <w:tcBorders>
              <w:top w:val="single" w:sz="8" w:color="147487"/>
              <w:left w:val="single" w:sz="8" w:color="147487"/>
              <w:bottom w:val="single" w:sz="8" w:color="147487"/>
              <w:right w:val="single" w:sz="8" w:color="147487"/>
              <w:insideH w:val="single" w:sz="8" w:color="147487"/>
              <w:insideV w:val="single" w:sz="8" w:color="14748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41C2C"/>
                <w:sz w:val="20"/>
              </w:rPr>
              <w:t>Zastrzeżenie</w:t>
              <w:br/>
            </w:r>
            <w:r>
              <w:rPr>
                <w:rFonts w:ascii="Aptos" w:hAnsi="Aptos"/>
                <w:color w:val="141C2C"/>
                <w:sz w:val="19"/>
              </w:rPr>
              <w:t>Dokument porządkuje założenia i pytania. Nie przesądza kwalifikacji prawnej, podatkowej, płatniczej ani RODO. Kancelaria/DPO powinni wskazać podstawę prawną, zakres stosowania, wyjątki i wymagane korekty.</w:t>
            </w:r>
          </w:p>
        </w:tc>
      </w:tr>
    </w:tbl>
    <w:p/>
    <w:p>
      <w:pPr>
        <w:pStyle w:val="LMSmall"/>
      </w:pPr>
      <w:r>
        <w:t>Wersja: Counsel Pack v1.0 | Data przygotowania: 2026-08-09 | Gate closure wymaga pisemnego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color w:val="5B6472"/>
        <w:sz w:val="16"/>
      </w:rPr>
      <w:t>02 Legal Decision Pack  •  Confidential / roboczy materiał do weryfikacji</w:t>
    </w:r>
  </w:p>
  <w:p>
    <w:pPr>
      <w:jc w:val="right"/>
    </w:pPr>
    <w:r>
      <w:rPr>
        <w:rFonts w:ascii="Aptos" w:hAnsi="Aptos"/>
        <w:color w:val="5B6472"/>
        <w:sz w:val="16"/>
      </w:rPr>
      <w:t xml:space="preserve">Strona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41C2C"/>
        <w:sz w:val="16"/>
      </w:rPr>
      <w:t>LOGIMARKET.EU  |  LEGAL COUNSEL REVIEW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1C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474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41C2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1C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MSmall">
    <w:name w:val="LM Small"/>
    <w:rPr>
      <w:rFonts w:ascii="Aptos" w:hAnsi="Aptos"/>
      <w:color w:val="5B647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