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B5C"/>
          <w:sz w:val="56"/>
        </w:rPr>
        <w:t>LOGIMARKET.EU</w:t>
      </w:r>
    </w:p>
    <w:p>
      <w:pPr>
        <w:jc w:val="center"/>
      </w:pPr>
      <w:r>
        <w:rPr>
          <w:b/>
          <w:color w:val="2E75B6"/>
          <w:sz w:val="36"/>
        </w:rPr>
        <w:t>Weryfikacja prawna modelu marketplace B2B</w:t>
      </w:r>
    </w:p>
    <w:p>
      <w:pPr>
        <w:jc w:val="center"/>
      </w:pPr>
      <w:r>
        <w:t>Odpowiedzi na otwarte bramki prawne (Counsel Pack v1.0, baseline main @ cd1de626)</w:t>
        <w:br/>
        <w:t>Zakres: LEG-MKT-01/02/03/04/08/09, DSA, OMQ-MKT-11 + uzupełnienia (VAT/KSeF/DAC7/AML)</w:t>
      </w:r>
    </w:p>
    <w:p/>
    <w:p>
      <w:pPr>
        <w:jc w:val="center"/>
      </w:pPr>
      <w:r>
        <w:rPr>
          <w:i/>
          <w:sz w:val="20"/>
        </w:rPr>
        <w:t>Dokument roboczy przygotowany do weryfikacji przez kancelarię i DPO.</w:t>
        <w:br/>
        <w:t>NIE STANOWI OPINII PRAWNEJ.</w:t>
      </w:r>
    </w:p>
    <w:p/>
    <w:p>
      <w:pPr>
        <w:jc w:val="center"/>
      </w:pPr>
      <w:r>
        <w:t>Data: 9 sierpnia 2026 r.</w:t>
      </w:r>
    </w:p>
    <w:p>
      <w:r>
        <w:br w:type="page"/>
      </w:r>
    </w:p>
    <w:p>
      <w:pPr>
        <w:pStyle w:val="Heading1"/>
      </w:pPr>
      <w:r>
        <w:rPr>
          <w:color w:val="1F3B5C"/>
        </w:rPr>
        <w:t>1. Zakres i metodologia</w:t>
      </w:r>
    </w:p>
    <w:p>
      <w:r>
        <w:rPr>
          <w:b w:val="0"/>
          <w:i w:val="0"/>
        </w:rPr>
        <w:t>Niniejszy dokument weryfikuje założenia biznesowe LogiMarket (intermediary-first B2B marketplace dla rynku przemysłowego i logistycznego) na podstawie trzech dokumentów przekazanych przez Zamawiającego: (1) Model biznesowy i założenia operacyjne, (2) Legal Decision Pack, (3) RODO / Data Flow Pack. Dla każdego zagadnienia wskazano: werdykt (czy model jest prawidłowy), podstawę prawną, warunki, wymagane zmiany (biznes/regulamin/UI/dane/umowa), minimalną treść zapisów oraz wpływ na projektowanie fizycznego modelu danych (bramka 56B1/56B2).</w:t>
      </w:r>
    </w:p>
    <w:p>
      <w:r>
        <w:rPr>
          <w:b w:val="0"/>
          <w:i w:val="0"/>
        </w:rPr>
        <w:t>Dokument ma charakter analizy roboczej dla kancelarii i DPO. Nie zastępuje formalnej opinii prawnej. Numery artykułów i brzmienie przepisów krajowych (w szczególności art. 66¹ §2 KC, art. 19 DSA — lista wyłączeń, art. 175 PKE) należy zweryfikować w aktualnych tekstach jednolitych przed wdrożeniem.</w:t>
      </w:r>
    </w:p>
    <w:p>
      <w:pPr>
        <w:pStyle w:val="Heading1"/>
      </w:pPr>
      <w:r>
        <w:rPr>
          <w:color w:val="1F3B5C"/>
        </w:rPr>
        <w:t>2. Podsumowanie wykonawcze — macierz werdyktów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b/>
                <w:sz w:val="19"/>
              </w:rPr>
              <w:t>Gate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Werdykt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Jedno zdanie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LEG-MKT-01 — rola LogiMarket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Model pośrednika (Partner = sprzedawca) jest konstruowalny na gruncie art. 540 KC; wymaga czystej konstrukcji umownej, języka UI i braku zaangażowania w transakcję towarową.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LEG-MKT-02 — zawarcie umowy (e-commerce)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Model „order intent + jawna akceptacja Partnera” jest zgodny z KC (checkout = oferta kupującego, akceptacja = przyjęcie oferty); wymaga spójnych komunikatów i capture dopiero po akceptacji.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LEG-MKT-02 — RFQ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RFQ = zaproszenie do rokowań (art. 72 KC); wycena niewiążąca wymaga wyraźnego zastrzeżenia w treści i w UI.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LEG-MKT-03 — disclosure sprzedawcy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Wymagane minimum przed konwersją: nazwa, NIP/VAT ID, adres, kontakt, rola LogiMarket, kto fakturuje/dostarcza/reklamuje; KYB wewnętrzne osobno.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LEG-MKT-04 — P2B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P2B MA zastosowanie (B2B nie wyłącza P2B — wręcz zakłada); obowiązki: warunki, skargi, uzasadnienia zawieszeń, zmiany z 15-dniowym wypowiedzeniem, opis rankingu, mediacja.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DSA — klasyfikacja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LogiMarket to najprawdopodobniej platforma internetowa (art. 3(i)); obowiązki podstawowe art. 11/13/15/26, zwolnienia art. 4–6; art. 30 (KYBC) nie dotyczy przy czystym B2B; część obowiązków wyłączona dla mikro/małych (art. 19).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LEG-MKT-08 — ograniczenie do B2B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Samo companyName jest niewystarczające; wymagane: deklaracja + NIP/VAT ID + weryfikacja (biała lista/CEIDG/KRS/VIES) + monitoring; obecnie brak pól NIP w schemacie.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LEG-MKT-09 / OMQ-MKT-11 — RODO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LogiMarket = administrator we wszystkich obecnych aktywnościach; Supabase = podmiot przetwarzający (DPA obowiązkowy); przepływ do Partnera = art. 26 (współadministrowanie), nie DPA; zgoda nie jest podstawą RFQ/checkoutu.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VAT / KSeF / DAC7 (uzupełnienie)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WYMAGA DZIAŁAŃ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Deemed supplier nie dotyczy czystego B2B; prowizja: 23% PL / reverse charge UE; KSeF obowiązkowy od 2026; DAC7 obowiązkowy (raport roczny); unikać escrow na własnym rachunku (licencja płatnicza).</w:t>
            </w:r>
          </w:p>
        </w:tc>
      </w:tr>
    </w:tbl>
    <w:p/>
    <w:p>
      <w:pPr>
        <w:pStyle w:val="Heading1"/>
      </w:pPr>
      <w:r>
        <w:rPr>
          <w:color w:val="1F3B5C"/>
        </w:rPr>
        <w:t>3. LEG-MKT-01 — Rola prawna LogiMarket jako pośrednika</w:t>
      </w:r>
    </w:p>
    <w:p>
      <w:r>
        <w:rPr>
          <w:b/>
        </w:rPr>
        <w:t xml:space="preserve">Werdykt: </w:t>
      </w:r>
      <w:r>
        <w:rPr>
          <w:b/>
          <w:color w:val="1B5E20"/>
        </w:rPr>
        <w:t>APPROVED_WITH_CONDITIONS — model jest prawidłowy pod warunkami opisanymi poniżej.</w:t>
      </w:r>
    </w:p>
    <w:p>
      <w:r>
        <w:rPr>
          <w:b/>
          <w:i w:val="0"/>
        </w:rPr>
        <w:t>Podstawa prawna:</w:t>
      </w:r>
    </w:p>
    <w:p>
      <w:pPr>
        <w:pStyle w:val="ListBullet"/>
      </w:pPr>
      <w:r>
        <w:t>art. 540 KC — umowa sprzedaży zawarta za pośrednictwem pośrednika wiąże zleceniodawcę (Partnera) i kupującego; pośrednik nie jest stroną, chyba że co innego wynika ze stosunku prawnego;</w:t>
      </w:r>
    </w:p>
    <w:p>
      <w:pPr>
        <w:pStyle w:val="ListBullet"/>
      </w:pPr>
      <w:r>
        <w:t>art. 758–773 KC (agencyjna), art. 765+ KC (komis), art. 95+ KC (przedstawicielstwo) — konstrukcje alternatywne, odrzucone w modelu (komisant i agent mogą być stroną/ zawierać umowy w imieniu);</w:t>
      </w:r>
    </w:p>
    <w:p>
      <w:pPr>
        <w:pStyle w:val="ListBullet"/>
      </w:pPr>
      <w:r>
        <w:t>art. 384 KC — wzorzec umowy (regulamin) musi być udostępniony przed zawarciem umowy w sposób umożliwiający przechowywanie i odtwarzanie;</w:t>
      </w:r>
    </w:p>
    <w:p>
      <w:pPr>
        <w:pStyle w:val="ListBullet"/>
      </w:pPr>
      <w:r>
        <w:t>DSA art. 4–6 — zwolnienia z odpowiedzialności za treści przy zachowaniu neutralności technicznej.</w:t>
      </w:r>
    </w:p>
    <w:p>
      <w:r>
        <w:rPr>
          <w:b/>
          <w:i w:val="0"/>
        </w:rPr>
        <w:t>Warunki, które muszą być spełnione:</w:t>
      </w:r>
    </w:p>
    <w:p>
      <w:pPr>
        <w:pStyle w:val="ListBullet"/>
      </w:pPr>
      <w:r>
        <w:t>Regulamin i umowa partnerska jednoznacznie stanowią, że LogiMarket nie jest stroną umowy sprzedaży, nie nabywa towaru, nie przejmuje ryzyka towarowego i nie odpowiada za zgodność towaru z umową (art. 540 KC).</w:t>
      </w:r>
    </w:p>
    <w:p>
      <w:pPr>
        <w:pStyle w:val="ListBullet"/>
      </w:pPr>
      <w:r>
        <w:t>Język UI: unikać „LogiMarket sprzedaje”, „kup od LogiMarket”; komunikaty rozróżniają przyjęcie zamówienia (techniczne) od akceptacji oferty (kontraktowe).</w:t>
      </w:r>
    </w:p>
    <w:p>
      <w:pPr>
        <w:pStyle w:val="ListBullet"/>
      </w:pPr>
      <w:r>
        <w:t>LogiMarket nie wystawia faktur za towar, nie przyjmuje płatności na własny rachunek (tylko orkiestracja PSP z direct pay-out do Partnera), nie organizuje dostawy we własnym imieniu.</w:t>
      </w:r>
    </w:p>
    <w:p>
      <w:pPr>
        <w:pStyle w:val="ListBullet"/>
      </w:pPr>
      <w:r>
        <w:t>Sprzedawca jest identyfikowalny przed konwersją (LEG-MKT-03).</w:t>
      </w:r>
    </w:p>
    <w:p>
      <w:pPr>
        <w:pStyle w:val="ListBullet"/>
      </w:pPr>
      <w:r>
        <w:t>Moderacja i zawieszenia realizowane zgodnie z P2B (uzasadnienia) i DSA (warunki korzystania).</w:t>
      </w:r>
    </w:p>
    <w:p>
      <w:r>
        <w:rPr>
          <w:b/>
          <w:i w:val="0"/>
        </w:rPr>
        <w:t>Wymagane zapisy w regulaminie / umowie z Partnerem:</w:t>
      </w:r>
    </w:p>
    <w:p>
      <w:pPr>
        <w:pStyle w:val="ListBullet"/>
      </w:pPr>
      <w:r>
        <w:t>definicje: Sprzedawca (Partner), Kupujący (Przedsiębiorca), Platforma, Oferta, Zamówienie, Akceptacja;</w:t>
      </w:r>
    </w:p>
    <w:p>
      <w:pPr>
        <w:pStyle w:val="ListBullet"/>
      </w:pPr>
      <w:r>
        <w:t>oświadczenie o roli pośrednika i wyłączeniu statusu strony umowy sprzedaży;</w:t>
      </w:r>
    </w:p>
    <w:p>
      <w:pPr>
        <w:pStyle w:val="ListBullet"/>
      </w:pPr>
      <w:r>
        <w:t>podział odpowiedzialności: towar/specyfikacja/ceny/dostawa/reklamacje/zwroty/faktura towarowa = Partner; usługa platformowa = LogiMarket;</w:t>
      </w:r>
    </w:p>
    <w:p>
      <w:pPr>
        <w:pStyle w:val="ListBullet"/>
      </w:pPr>
      <w:r>
        <w:t>prawo platformy do moderacji i zawieszenia (z uzasadnieniem wg P2B);</w:t>
      </w:r>
    </w:p>
    <w:p>
      <w:pPr>
        <w:pStyle w:val="ListBullet"/>
      </w:pPr>
      <w:r>
        <w:t>zasady prowizji (success fee) i fakturowania usługi platformowej.</w:t>
      </w:r>
    </w:p>
    <w:p>
      <w:r>
        <w:rPr>
          <w:b/>
          <w:i w:val="0"/>
        </w:rPr>
        <w:t>Wpływ na 56B1/56B2:</w:t>
      </w:r>
    </w:p>
    <w:p>
      <w:r>
        <w:rPr>
          <w:b w:val="0"/>
          <w:i w:val="0"/>
        </w:rPr>
        <w:t>Brak zmian blokujących w samym modelu danych; wymaga pól statusu zamówienia i ról stron w encjach transakcyjnych. Decyzja ta odblokowuje projektowanie encji transakcyjnych (order, oferta, akceptacja).</w:t>
      </w:r>
    </w:p>
    <w:p>
      <w:pPr>
        <w:pStyle w:val="Heading1"/>
      </w:pPr>
      <w:r>
        <w:rPr>
          <w:color w:val="1F3B5C"/>
        </w:rPr>
        <w:t>4. LEG-MKT-02 — Moment zawarcia umowy (e-commerce i RFQ)</w:t>
      </w:r>
    </w:p>
    <w:p>
      <w:r>
        <w:rPr>
          <w:b/>
        </w:rPr>
        <w:t xml:space="preserve">Werdykt: </w:t>
      </w:r>
      <w:r>
        <w:rPr>
          <w:b/>
          <w:color w:val="1B5E20"/>
        </w:rPr>
        <w:t>APPROVED_WITH_CONDITIONS — model „order intent + jawna akceptacja Partnera” jest prawidłowo skonstruowany.</w:t>
      </w:r>
    </w:p>
    <w:p>
      <w:r>
        <w:rPr>
          <w:b/>
          <w:i w:val="0"/>
        </w:rPr>
        <w:t>Podstawa prawna:</w:t>
      </w:r>
    </w:p>
    <w:p>
      <w:pPr>
        <w:pStyle w:val="ListBullet"/>
      </w:pPr>
      <w:r>
        <w:t>art. 66 §1 KC — oferta musi określać istotne postanowienia umowy (towar, cena, ilość);</w:t>
      </w:r>
    </w:p>
    <w:p>
      <w:pPr>
        <w:pStyle w:val="ListBullet"/>
      </w:pPr>
      <w:r>
        <w:t>art. 66 §2, 66¹, 68–70 KC — związanie ofertą, przyjęcie oferty, moment zawarcia umowy;</w:t>
      </w:r>
    </w:p>
    <w:p>
      <w:pPr>
        <w:pStyle w:val="ListBullet"/>
      </w:pPr>
      <w:r>
        <w:t>art. 61 KC — oświadczenie woli w postaci elektronicznej uważa się za złożone z chwilą wejścia do systemu teleinformatycznego adresata;</w:t>
      </w:r>
    </w:p>
    <w:p>
      <w:pPr>
        <w:pStyle w:val="ListBullet"/>
      </w:pPr>
      <w:r>
        <w:t>art. 72 KC (negocjacje), art. 72¹ KC (odpowiedzialność za przerwanie rokowań);</w:t>
      </w:r>
    </w:p>
    <w:p>
      <w:pPr>
        <w:pStyle w:val="ListBullet"/>
      </w:pPr>
      <w:r>
        <w:t>art. 384 KC (wzorzec umowy).</w:t>
      </w:r>
    </w:p>
    <w:p>
      <w:pPr>
        <w:pStyle w:val="Heading2"/>
      </w:pPr>
      <w:r>
        <w:rPr>
          <w:color w:val="2E75B6"/>
        </w:rPr>
        <w:t>4.1 E-commerce — mapa zdarzeń E1–E9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Zdarzenie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Kwalifikacja prawna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Werdykt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E1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Koszyk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Czynność techniczna — brak skutku kontraktowego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E2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Submit checkout (order intent)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OFERTA kupującego (art. 66 §1 KC) — jeśli zawiera istotne postanowienia; prezentacje Partnerów = zaproszenie do składania ofert (invitatio)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E3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Potwierdzenie otrzymania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Potwierdzenie techniczne; warunek związania ofertą elektroniczną (art. 66¹ KC); NIE jest akceptacją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OK — komunikat musi to odzwierciedlać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E4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Inicjacja płatności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Czynność techniczna PSP — brak skutku kontraktowego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E5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Preautoryzacja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Blokada środków — brak skutku dla zawarcia umowy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OK — capture wyłącznie po akceptacji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E6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Otrzymanie zamówienia przez Partnera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Przekazanie operacyjne (routing) — nie jest akceptacją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E7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JAWNA AKCEPTACJA PARTNERA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PRZYJĘCIE OFERTY (art. 68–70 KC) → MOMENT ZAWARCIA UMOWY (art. 61 KC — dotarcie)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KLUCZOWE ZDARZENIE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E8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Wysyłka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Fulfillment; wysyłka bez akceptacji mogłaby być uznana za akceptację dorozumianą (art. 68 §1 KC)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Ryzyko — wymusić akceptację przed wysyłką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E9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Inne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Rejestracja czasów dotarcia; potwierdzenie zawarcia umowy kupującemu (dowód)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Rekomendacja</w:t>
            </w:r>
          </w:p>
        </w:tc>
      </w:tr>
    </w:tbl>
    <w:p/>
    <w:p>
      <w:r>
        <w:rPr>
          <w:b/>
          <w:i w:val="0"/>
        </w:rPr>
        <w:t>Warunki:</w:t>
      </w:r>
    </w:p>
    <w:p>
      <w:pPr>
        <w:pStyle w:val="ListBullet"/>
      </w:pPr>
      <w:r>
        <w:t>prezentacje ofert Partnerów oznaczone jako zaproszenie do składania ofert (nie oferty);</w:t>
      </w:r>
    </w:p>
    <w:p>
      <w:pPr>
        <w:pStyle w:val="ListBullet"/>
      </w:pPr>
      <w:r>
        <w:t>UI komunikuje: „złożenie zamówienia jest ofertą kupującego; umowa powstaje po akceptacji przez sprzedawcę”;</w:t>
      </w:r>
    </w:p>
    <w:p>
      <w:pPr>
        <w:pStyle w:val="ListBullet"/>
      </w:pPr>
      <w:r>
        <w:t>capture płatności następuje dopiero po akceptacji Partnera (preautoryzacja przed — dopuszczalna);</w:t>
      </w:r>
    </w:p>
    <w:p>
      <w:pPr>
        <w:pStyle w:val="ListBullet"/>
      </w:pPr>
      <w:r>
        <w:t>system wymusza akceptację/odrzucenie w określonym terminie; brak odpowiedzi = brak umowy (nie domniemywać akceptacji);</w:t>
      </w:r>
    </w:p>
    <w:p>
      <w:pPr>
        <w:pStyle w:val="ListBullet"/>
      </w:pPr>
      <w:r>
        <w:t>rejestracja znaczników czasu: dotarcie oferty do Partnera (E2/E6), dotarcie akceptacji do kupującego (E7) — na potrzeby art. 61 KC.</w:t>
      </w:r>
    </w:p>
    <w:p>
      <w:pPr>
        <w:pStyle w:val="Heading2"/>
      </w:pPr>
      <w:r>
        <w:rPr>
          <w:color w:val="2E75B6"/>
        </w:rPr>
        <w:t>4.2 RFQ — mapa zdarzeń R1–R8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Zdarzenie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Kwalifikacja prawna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Werdykt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Złożenie RFQ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Invitatio ad offerendum / rozpoczęcie rokowań (art. 72 KC)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Otrzymanie RFQ (routing)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Czynność techniczna platformy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Odpowiedź Partnera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Komunikat negocjacyjny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Wycena/quotation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OFERTA (art. 66 §1) — jeśli bez zastrzeżeń; INVITATIO — jeśli wyraźnie zastrzeżono niewiążący charakter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KLUCZOWE — wymaga zastrzeżenia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Negocjacje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Rokowania (art. 72, 72¹ KC)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Akceptacja wyceny przez kupującego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Przyjęcie oferty — jeśli wycena była ofertą wiążącą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Zależne od R4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R7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Potwierdzenie Partnera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Potwierdzenie zawarcia / element formowania umowy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Rekomendacja: wymagać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R8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Inne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Umowa B2B może powstać przez wymianę oświadczeń poza platformą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Wskazać zasady w regulaminie</w:t>
            </w:r>
          </w:p>
        </w:tc>
      </w:tr>
    </w:tbl>
    <w:p/>
    <w:p>
      <w:r>
        <w:rPr>
          <w:b/>
          <w:i w:val="0"/>
        </w:rPr>
        <w:t>Jak skutecznie zapewnić niewiążący charakter wyceny (Q6):</w:t>
      </w:r>
    </w:p>
    <w:p>
      <w:pPr>
        <w:pStyle w:val="ListBullet"/>
      </w:pPr>
      <w:r>
        <w:t>zastrzeżenie w treści wyceny: „wycena ma charakter informacyjny i niewiążący, nie stanowi oferty w rozumieniu art. 66 KC; wiążąca oferta zostanie złożona po uzgodnieniu warunków” (+ zastrzeżenie o możliwości zmiany);</w:t>
      </w:r>
    </w:p>
    <w:p>
      <w:pPr>
        <w:pStyle w:val="ListBullet"/>
      </w:pPr>
      <w:r>
        <w:t>UI: zamiast „Akceptuję wycenę” — „Poproś o ofertę wiążącą” / przejście do ścieżki zamówienia z akceptacją Partnera;</w:t>
      </w:r>
    </w:p>
    <w:p>
      <w:pPr>
        <w:pStyle w:val="ListBullet"/>
      </w:pPr>
      <w:r>
        <w:t>regulamin: odpowiedzi na RFQ i wyceny są elementem rokowań (art. 72 KC) i nie tworzą umowy do czasu jednoznacznych oświadczeń stron.</w:t>
      </w:r>
    </w:p>
    <w:p>
      <w:r>
        <w:rPr>
          <w:b/>
          <w:i w:val="0"/>
        </w:rPr>
        <w:t>Wpływ na 56B1/56B2:</w:t>
      </w:r>
    </w:p>
    <w:p>
      <w:r>
        <w:rPr>
          <w:b w:val="0"/>
          <w:i w:val="0"/>
        </w:rPr>
        <w:t>Decyzja odblokowuje logikę transakcyjną: encje oferta/zamówienie z polami statusu (SUBMITTED / RECEIVED / ACCEPTED / REJECTED), znaczniki czasu E2/E6/E7, powiązanie płatności (preauth/capture) z statusem akceptacji. Bez tej decyzji nie projektować finalnej logiki checkoutu.</w:t>
      </w:r>
    </w:p>
    <w:p>
      <w:pPr>
        <w:pStyle w:val="Heading1"/>
      </w:pPr>
      <w:r>
        <w:rPr>
          <w:color w:val="1F3B5C"/>
        </w:rPr>
        <w:t>5. LEG-MKT-03 — Tożsamość sprzedawcy i zakres ujawniania (disclosure)</w:t>
      </w:r>
    </w:p>
    <w:p>
      <w:r>
        <w:rPr>
          <w:b/>
        </w:rPr>
        <w:t xml:space="preserve">Werdykt: </w:t>
      </w:r>
      <w:r>
        <w:rPr>
          <w:b/>
          <w:color w:val="1B5E20"/>
        </w:rPr>
        <w:t>APPROVED_WITH_CONDITIONS</w:t>
      </w:r>
    </w:p>
    <w:p>
      <w:r>
        <w:rPr>
          <w:b/>
          <w:i w:val="0"/>
        </w:rPr>
        <w:t>Podstawa prawna:</w:t>
      </w:r>
    </w:p>
    <w:p>
      <w:pPr>
        <w:pStyle w:val="ListBullet"/>
      </w:pPr>
      <w:r>
        <w:t>art. 540 KC, art. 66 §1 KC — identyfikacja kontrahenta dla ważności i określoności umowy;</w:t>
      </w:r>
    </w:p>
    <w:p>
      <w:pPr>
        <w:pStyle w:val="ListBullet"/>
      </w:pPr>
      <w:r>
        <w:t>art. 5 ust. 1 ustawy o świadczeniu usług drogą elektroniczną (Dz.U. 2017 poz. 1219) — dane platformy (usługodawcy);</w:t>
      </w:r>
    </w:p>
    <w:p>
      <w:pPr>
        <w:pStyle w:val="ListBullet"/>
      </w:pPr>
      <w:r>
        <w:t>P2B art. 9 — informacja o głównych parametrach rankingu (nie dane sprzedawcy);</w:t>
      </w:r>
    </w:p>
    <w:p>
      <w:pPr>
        <w:pStyle w:val="ListBullet"/>
      </w:pPr>
      <w:r>
        <w:t>DSA art. 30 — KYBC tylko gdy platforma umożliwia konsumentom zawieranie umów (przy czystym B2B nie dotyczy);</w:t>
      </w:r>
    </w:p>
    <w:p>
      <w:pPr>
        <w:pStyle w:val="ListBullet"/>
      </w:pPr>
      <w:r>
        <w:t>w B2B brak ustawowego obowiązku pełnego disclosure jak w B2C (ustawa o prawach konsumenta art. 8–10), ale identyfikacja kontrahenta jest wymogiem kontraktowym i elementem zaufania.</w:t>
      </w:r>
    </w:p>
    <w:p>
      <w:r>
        <w:rPr>
          <w:b/>
          <w:i w:val="0"/>
        </w:rPr>
        <w:t>Rekomendowana macierz pól (odpowiedź na macierz z Legal Decision Pack §5):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08"/>
          </w:tcPr>
          <w:p>
            <w:r/>
            <w:r>
              <w:rPr>
                <w:b/>
                <w:sz w:val="19"/>
              </w:rPr>
              <w:t>Pole / informacja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RFQ (przed submit)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</w:rPr>
              <w:t>E-commerce (przed order)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Uwagi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Nazwa prawna sprzedawcy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minimum identyfikacji kontrahenta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NIP / VAT ID (KRS/REGON)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TAK (NIP lub VAT ID)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weryfikacja VIES dla UE; KRS/REGON na profilu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Adres siedziby + kontakt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TAK (firmowy)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adres firmy, e-mail i telefon firmowy; dane KYB — wewnętrzne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Kto wystawia fakturę za towar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TAK („sprzedawca”)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zgodność z modelem pośrednika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Kto realizuje dostawę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Partner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Kto obsługuje reklamację/zwrot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Partner; reklamacje w B2B wg art. 556+ KC, możliwe zawężenie (art. 558 §1 KC)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Rola LogiMarket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TAK („pośrednik — nie jest stroną umowy”)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TAK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komunikat przy checkout + regulamin</w:t>
            </w:r>
          </w:p>
        </w:tc>
      </w:tr>
    </w:tbl>
    <w:p/>
    <w:p>
      <w:r>
        <w:rPr>
          <w:b/>
          <w:i w:val="0"/>
        </w:rPr>
        <w:t>Wymagane zmiany w UI/danych:</w:t>
      </w:r>
    </w:p>
    <w:p>
      <w:pPr>
        <w:pStyle w:val="ListBullet"/>
      </w:pPr>
      <w:r>
        <w:t>dane sprzedawcy prezentowane na stronie oferty i w podsumowaniu zamówienia (przed złożeniem);</w:t>
      </w:r>
    </w:p>
    <w:p>
      <w:pPr>
        <w:pStyle w:val="ListBullet"/>
      </w:pPr>
      <w:r>
        <w:t>rozróżnienie danych publicznych (nazwa, NIP/VAT ID, adres, kontakt) od wewnętrznych KYB (weryfikacje, beneficjenci, rachunki — nieujawniane);</w:t>
      </w:r>
    </w:p>
    <w:p>
      <w:pPr>
        <w:pStyle w:val="ListBullet"/>
      </w:pPr>
      <w:r>
        <w:t>pola w schemacie: seller legal name, VAT ID, address, invoice issuer flag, delivery party, complaints party.</w:t>
      </w:r>
    </w:p>
    <w:p>
      <w:pPr>
        <w:pStyle w:val="Heading1"/>
      </w:pPr>
      <w:r>
        <w:rPr>
          <w:color w:val="1F3B5C"/>
        </w:rPr>
        <w:t>6. LEG-MKT-04 + DSA — P2B i klasyfikacja DSA</w:t>
      </w:r>
    </w:p>
    <w:p>
      <w:pPr>
        <w:pStyle w:val="Heading2"/>
      </w:pPr>
      <w:r>
        <w:rPr>
          <w:color w:val="2E75B6"/>
        </w:rPr>
        <w:t>6.1 P2B (rozporządzenie (UE) 2019/1150)</w:t>
      </w:r>
    </w:p>
    <w:p>
      <w:r>
        <w:rPr>
          <w:b/>
        </w:rPr>
        <w:t xml:space="preserve">Werdykt: </w:t>
      </w:r>
      <w:r>
        <w:rPr>
          <w:b/>
          <w:color w:val="1B5E20"/>
        </w:rPr>
        <w:t>APPROVED_WITH_CONDITIONS — P2B MA zastosowanie; „B2B-only” nie wyłącza P2B, wręcz zakłada relację platforma–przedsiębiorca.</w:t>
      </w:r>
    </w:p>
    <w:p>
      <w:r>
        <w:rPr>
          <w:b/>
          <w:i w:val="0"/>
        </w:rPr>
        <w:t>Podstawa prawna i zakres:</w:t>
      </w:r>
    </w:p>
    <w:p>
      <w:pPr>
        <w:pStyle w:val="ListBullet"/>
      </w:pPr>
      <w:r>
        <w:t>art. 2 pkt 1–2 P2B — „komercyjny użytkownik” (Partner) i „usługa pośrednictwa internetowego” (platforma);</w:t>
      </w:r>
    </w:p>
    <w:p>
      <w:pPr>
        <w:pStyle w:val="ListBullet"/>
      </w:pPr>
      <w:r>
        <w:t>art. 1 ust. 2–4 P2B — wyłączenia: usługi płatnicze, reklama, adtech, giełdy — nie dotyczą marketplace; wyłączenie małych dostawców (≤1 mln EUR obrotu, &lt;10 pracowników) działa tylko przy usługach w JEDNYM państwie członkowskim — przy RFQ PL+UE nie zadziała;</w:t>
      </w:r>
    </w:p>
    <w:p>
      <w:pPr>
        <w:pStyle w:val="ListBullet"/>
      </w:pPr>
      <w:r>
        <w:t>egzekucja w PL: ustawa z 2020 r. (Dz.U. 2020 poz. 1298) — organ: Prezes UOKiK.</w:t>
      </w:r>
    </w:p>
    <w:p>
      <w:r>
        <w:rPr>
          <w:b/>
          <w:i w:val="0"/>
        </w:rPr>
        <w:t>Obowiązki do wdrożenia: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</w:tcPr>
          <w:p>
            <w:r/>
            <w:r>
              <w:rPr>
                <w:b/>
                <w:sz w:val="19"/>
              </w:rPr>
              <w:t>Obowiązek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Art. P2B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Wdrożenie w LogiMarket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Przejrzyste warunki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3, 5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Regulamin + umowa partnerska: zakres, parametry rankingu, dostęp do danych, IP, zawieszenia, rozwiązanie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Zmiany warunków — wypowiedzenie ≥15 dni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3(1)(b), 8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Proces notyfikacji zmian; zakaz zmian retroaktywnych (poza wyjątkami)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Zawieszenie/rozwiązanie — uzasadnienie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Szablon uzasadnień przy decyzjach Admina (MVP: manualnie — zgodne z Q8); brak automatycznych kar/scoringu w MVP redukuje ryzyko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System skarg wewnętrznych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Proces skarg Partnerów (e-mail/panel, termin odpowiedzi)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Opis rankingu (główne parametry)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5(1)(a), 9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„Ręczny dobór redakcyjny; kryteria: jakość oferty, kompletność danych, historia transakcji”; oświadczenie o braku paid rankingu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Zróżnicowane traktowanie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MVP: LogiMarket nie konkuruje z Partnerami (brak kanału reseller) — oświadczenie; ważne przy przyszłym rozszerzeniu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Dostęp do danych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5(1)(c)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Opis danych generowanych przez Partnera i dostępu (MVP: Admin)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Mediacja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Wskazanie mediatorów w regulaminie</w:t>
            </w:r>
          </w:p>
        </w:tc>
      </w:tr>
    </w:tbl>
    <w:p/>
    <w:p>
      <w:pPr>
        <w:pStyle w:val="Heading2"/>
      </w:pPr>
      <w:r>
        <w:rPr>
          <w:color w:val="2E75B6"/>
        </w:rPr>
        <w:t>6.2 DSA (rozporządzenie (UE) 2022/2065)</w:t>
      </w:r>
    </w:p>
    <w:p>
      <w:r>
        <w:rPr>
          <w:b/>
        </w:rPr>
        <w:t xml:space="preserve">Werdykt: </w:t>
      </w:r>
      <w:r>
        <w:rPr>
          <w:b/>
          <w:color w:val="1B5E20"/>
        </w:rPr>
        <w:t>APPROVED_WITH_CONDITIONS — klasyfikacja: platforma internetowa (art. 3(i)) lub co najmniej hosting (art. 3(g)(iii)).</w:t>
      </w:r>
    </w:p>
    <w:p>
      <w:r>
        <w:rPr>
          <w:b/>
          <w:i w:val="0"/>
        </w:rPr>
        <w:t>Klasyfikacja:</w:t>
      </w:r>
    </w:p>
    <w:p>
      <w:pPr>
        <w:pStyle w:val="ListBullet"/>
      </w:pPr>
      <w:r>
        <w:t>platforma internetowa = hosting rozpowszechniający informacje „do publicznej wiadomości” na żądanie odbiorcy (art. 3(i), 3(k)); kwalifikacja nie zależy od B2B/B2C, lecz od publicznego rozpowszechniania ofert;</w:t>
      </w:r>
    </w:p>
    <w:p>
      <w:pPr>
        <w:pStyle w:val="ListBullet"/>
      </w:pPr>
      <w:r>
        <w:t>zwolnienia z odpowiedzialności za treści (art. 4–6) — pod warunkiem neutralności technicznej (brak wiedzy o bezprawnych treściach, niezwłoczne działanie po zgłoszeniu, brak modyfikacji informacji);</w:t>
      </w:r>
    </w:p>
    <w:p>
      <w:pPr>
        <w:pStyle w:val="ListBullet"/>
      </w:pPr>
      <w:r>
        <w:t>art. 30 (KYBC/śledzenie handlowców) — dotyczy wyłącznie platform umożliwiających KONSUMENTOM zawieranie umów; przy czystym B2B nie dotyczy (wzmocnienie konieczności skutecznego gatingu B2B).</w:t>
      </w:r>
    </w:p>
    <w:p>
      <w:r>
        <w:rPr>
          <w:b/>
          <w:i w:val="0"/>
        </w:rPr>
        <w:t>Obowiązki dla MVP (mały/mikro podmiot):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</w:tcPr>
          <w:p>
            <w:r/>
            <w:r>
              <w:rPr>
                <w:b/>
                <w:sz w:val="19"/>
              </w:rPr>
              <w:t>Obowiązek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Art. DSA</w:t>
            </w:r>
          </w:p>
        </w:tc>
        <w:tc>
          <w:tcPr>
            <w:tcW w:type="dxa" w:w="5443"/>
          </w:tcPr>
          <w:p>
            <w:r/>
            <w:r>
              <w:rPr>
                <w:b/>
                <w:sz w:val="19"/>
              </w:rPr>
              <w:t>Status dla MVP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Punkt kontaktowy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TAK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Warunki korzystania z usługi (ograniczenia, moderacja)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TAK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Sprawozdawczość przejrzystości (co 6 mies.)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TAK (zakres uproszczony dla mikro)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Mechanizm zgłaszania nielegalnych treści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Wyłączony dla mikro/małych (art. 19) — rekomendowane wdrożenie uproszczone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Uzasadnienie decyzji o ograniczeniach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Wyłączony dla mikro/małych — rekomendowane (spójność z P2B art. 7)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Zgłaszanie podejrzeń przestępstw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Wyłączony dla mikro/małych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System skarg wewnętrznych / mediacja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20–21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Wyłączony dla mikro/małych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Sprawozdawczość platform (co 6 mies.)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Wyłączona dla mikro/małych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Przejrzystość reklam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TAK (oznaczać treści promocyjne)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Przejrzystość systemów rekomendacji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Prawdopodobnie poza zakresem (ranking ręczny/edytorski, brak systemu rekomendacji w rozumieniu art. 3(s)) — przegląd przy automatyzacji sortowania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KYBC (śledzenie handlowców)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30–32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NIE dotyczy przy B2B-only</w:t>
            </w:r>
          </w:p>
        </w:tc>
      </w:tr>
    </w:tbl>
    <w:p/>
    <w:p>
      <w:r>
        <w:rPr>
          <w:b/>
          <w:i w:val="0"/>
        </w:rPr>
        <w:t>Wymagane zapisy:</w:t>
      </w:r>
    </w:p>
    <w:p>
      <w:pPr>
        <w:pStyle w:val="ListBullet"/>
      </w:pPr>
      <w:r>
        <w:t>regulamin jako warunki korzystania z usługi (art. 13 DSA): zasady moderacji, zawieszeń, blokad, zgłaszania treści;</w:t>
      </w:r>
    </w:p>
    <w:p>
      <w:pPr>
        <w:pStyle w:val="ListBullet"/>
      </w:pPr>
      <w:r>
        <w:t>punkt kontaktowy (art. 11); uproszczony mechanizm zgłoszeń (rekomendacja); oznaczenia treści promocyjnych (art. 26);</w:t>
      </w:r>
    </w:p>
    <w:p>
      <w:pPr>
        <w:pStyle w:val="ListBullet"/>
      </w:pPr>
      <w:r>
        <w:t>informacja o ręcznym rankingu (art. 27 — jeśli zastosowanie).</w:t>
      </w:r>
    </w:p>
    <w:p>
      <w:pPr>
        <w:pStyle w:val="Heading1"/>
      </w:pPr>
      <w:r>
        <w:rPr>
          <w:color w:val="1F3B5C"/>
        </w:rPr>
        <w:t>7. LEG-MKT-08 — Skuteczne ograniczenie platformy do B2B</w:t>
      </w:r>
    </w:p>
    <w:p>
      <w:r>
        <w:rPr>
          <w:b/>
        </w:rPr>
        <w:t xml:space="preserve">Werdykt: </w:t>
      </w:r>
      <w:r>
        <w:rPr>
          <w:b/>
          <w:color w:val="1B5E20"/>
        </w:rPr>
        <w:t>APPROVED_WITH_CONDITIONS — samo companyName jest niewystarczające; wymagana jest metodologia warstwowa.</w:t>
      </w:r>
    </w:p>
    <w:p>
      <w:r>
        <w:rPr>
          <w:b/>
          <w:i w:val="0"/>
        </w:rPr>
        <w:t>Podstawa prawna i kontekst:</w:t>
      </w:r>
    </w:p>
    <w:p>
      <w:pPr>
        <w:pStyle w:val="ListBullet"/>
      </w:pPr>
      <w:r>
        <w:t>art. 43¹, 22¹ KC — definicje przedsiębiorcy i konsumenta; status konsumenta oceniany obiektywnie (czynności niezwiązane bezpośrednio z działalnością gospodarczą);</w:t>
      </w:r>
    </w:p>
    <w:p>
      <w:pPr>
        <w:pStyle w:val="ListBullet"/>
      </w:pPr>
      <w:r>
        <w:t>ustawa o prawach konsumenta (art. 8–10, 27) — pełny reżim ochrony, jeśli konsument „przecieknie” (prawo odstąpienia 14 dni, obowiązki informacyjne);</w:t>
      </w:r>
    </w:p>
    <w:p>
      <w:pPr>
        <w:pStyle w:val="ListBullet"/>
      </w:pPr>
      <w:r>
        <w:t>DSA art. 30 — KYBC zacznie dotyczyć platformy, jeśli faktycznie umożliwi konsumentom zawieranie umów;</w:t>
      </w:r>
    </w:p>
    <w:p>
      <w:pPr>
        <w:pStyle w:val="ListBullet"/>
      </w:pPr>
      <w:r>
        <w:t>rozporządzenie Rzym I art. 6 / Bruksela I bis — ochrona konsumenta przy wyborze prawa i jurysdykcji.</w:t>
      </w:r>
    </w:p>
    <w:p>
      <w:r>
        <w:rPr>
          <w:b/>
          <w:i w:val="0"/>
        </w:rPr>
        <w:t>Minimalna metodologia (warstwy):</w:t>
      </w:r>
    </w:p>
    <w:p>
      <w:pPr>
        <w:pStyle w:val="ListBullet"/>
      </w:pPr>
      <w:r>
        <w:t>Warstwa 1 — deklaracja: oświadczenie „składam zamówienie jako przedsiębiorca” (checkbox) + pola firmowe (companyName, NIP/VAT ID, adres firmy);</w:t>
      </w:r>
    </w:p>
    <w:p>
      <w:pPr>
        <w:pStyle w:val="ListBullet"/>
      </w:pPr>
      <w:r>
        <w:t>Warstwa 2 — weryfikacja: PL — NIP + biała lista VAT / CEIDG / KRS (API); UE — numer VAT UE + VIES (status aktywny); alternatywa — rejestr handlowy kraju siedziby lub weryfikacja manualna dokumentów rejestrowych;</w:t>
      </w:r>
    </w:p>
    <w:p>
      <w:pPr>
        <w:pStyle w:val="ListBullet"/>
      </w:pPr>
      <w:r>
        <w:t>Warstwa 3 — wzmocnienia: firmowa domena e-mail, manualna weryfikacja dla wysokich wartości / pierwszej transakcji (KYB — powiązane z DAC7), monitoring cykliczny (re-weryfikacja VIES/CEIDG, alerty o wygaszeniu NIP);</w:t>
      </w:r>
    </w:p>
    <w:p>
      <w:pPr>
        <w:pStyle w:val="ListBullet"/>
      </w:pPr>
      <w:r>
        <w:t>Warstwa 4 — zabezpieczenia prawne: definicja Kupującego w regulaminie, zakaz korzystania przez konsumentów, odpowiedzialność za fałszywe oświadczenia, procedura awaryjna dla „przecieku” (umożliwienie odstąpienia 14 dni, obsługa zwrotów).</w:t>
      </w:r>
    </w:p>
    <w:p>
      <w:r>
        <w:rPr>
          <w:b/>
          <w:i w:val="0"/>
        </w:rPr>
        <w:t>Konsekwencje braku skutecznej kwalifikacji:</w:t>
      </w:r>
    </w:p>
    <w:p>
      <w:pPr>
        <w:pStyle w:val="ListBullet"/>
      </w:pPr>
      <w:r>
        <w:t>pełny reżim konsumencki (odstąpienie 14 dni, rękojmia konsumencka, klauzule niedozwolone), odpowiedzialność UOKiK (praktyki wprowadzające w błąd), DSA art. 30, ryzyka VAT (B2C/OSS/deemed supplier przy imporcie ≤150 EUR).</w:t>
      </w:r>
    </w:p>
    <w:p>
      <w:r>
        <w:rPr>
          <w:b/>
          <w:i w:val="0"/>
        </w:rPr>
        <w:t>Wymagane zmiany (wpływ na 56B1):</w:t>
      </w:r>
    </w:p>
    <w:p>
      <w:pPr>
        <w:pStyle w:val="ListBullet"/>
      </w:pPr>
      <w:r>
        <w:t>SCHEMAT: dodać pola NIP/VAT ID + status weryfikacji (obecnie NIP_FIELD_PRESENT=NO, VIES_CURRENTLY_USED=NO, BUSINESS_DECLARATION_PRESENT=NO — wszystkie do zmiany na TAK);</w:t>
      </w:r>
    </w:p>
    <w:p>
      <w:pPr>
        <w:pStyle w:val="ListBullet"/>
      </w:pPr>
      <w:r>
        <w:t>UI: pola + walidacja VIES w czasie rzeczywistym + komunikaty;</w:t>
      </w:r>
    </w:p>
    <w:p>
      <w:pPr>
        <w:pStyle w:val="ListBullet"/>
      </w:pPr>
      <w:r>
        <w:t>regulamin: definicje, oświadczenia, procedura awaryjna.</w:t>
      </w:r>
    </w:p>
    <w:p>
      <w:pPr>
        <w:pStyle w:val="Heading1"/>
      </w:pPr>
      <w:r>
        <w:rPr>
          <w:color w:val="1F3B5C"/>
        </w:rPr>
        <w:t>8. LEG-MKT-09 / OMQ-MKT-11 — RODO: role, podstawy, art. 13/14, retencja, umowy</w:t>
      </w:r>
    </w:p>
    <w:p>
      <w:r>
        <w:rPr>
          <w:b/>
        </w:rPr>
        <w:t xml:space="preserve">Werdykt: </w:t>
      </w:r>
      <w:r>
        <w:rPr>
          <w:b/>
          <w:color w:val="1B5E20"/>
        </w:rPr>
        <w:t>APPROVED_WITH_CONDITIONS</w:t>
      </w:r>
    </w:p>
    <w:p>
      <w:r>
        <w:rPr>
          <w:b/>
          <w:i w:val="0"/>
        </w:rPr>
        <w:t>Podstawa prawna:</w:t>
      </w:r>
    </w:p>
    <w:p>
      <w:pPr>
        <w:pStyle w:val="ListBullet"/>
      </w:pPr>
      <w:r>
        <w:t>RODO art. 4(7)/4(8) (administrator/podmiot przetwarzający), art. 6 (podstawy), art. 13–14 (informacje), art. 26 (współadministrowanie), art. 28 (umowy powierzenia), art. 30 (ROPA), art. 32–34 (bezpieczeństwo i naruszenia), art. 35 (DPIA), art. 44–49 (transfery);</w:t>
      </w:r>
    </w:p>
    <w:p>
      <w:pPr>
        <w:pStyle w:val="ListBullet"/>
      </w:pPr>
      <w:r>
        <w:t>EDPB Guidelines 07/2020 (role administratora/procesora); EDPB 05/2020 (zgoda); EDPB Recommendations 01/2020 (transfery);</w:t>
      </w:r>
    </w:p>
    <w:p>
      <w:pPr>
        <w:pStyle w:val="ListBullet"/>
      </w:pPr>
      <w:r>
        <w:t>orzecznictwo: C-40/17 Fashion ID, C-210/16 Wirtschaftsakademie, C-673/17 Planet49, C-61/19 Orange România, C-582/14 Breyer, C-101/01 Lindqvist, C-434/16 Nowak; uchwała SN III CZP 8/20 (dane przedsiębiorców);</w:t>
      </w:r>
    </w:p>
    <w:p>
      <w:pPr>
        <w:pStyle w:val="ListBullet"/>
      </w:pPr>
      <w:r>
        <w:t>Polska: ustawa z 10.05.2018 r. o ochronie danych osobowych; ustawa z 12.07.2024 r. Prawo komunikacji elektronicznej (art. 175 — cookie); ustawa o świadczeniu usług drogą elektroniczną (art. 10 — soft opt-in); KC art. 118 (przedawnienie); Ordynacja podatkowa art. 112; ustawa o rachunkowości art. 74.</w:t>
      </w:r>
    </w:p>
    <w:p>
      <w:pPr>
        <w:pStyle w:val="Heading2"/>
      </w:pPr>
      <w:r>
        <w:rPr>
          <w:color w:val="2E75B6"/>
        </w:rPr>
        <w:t>8.1 Role RODO per aktywność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Aktywność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9"/>
              </w:rPr>
              <w:t>Rola LogiMarket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Rola Partnera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Podstawa prawna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Art. 13/14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9"/>
              </w:rPr>
              <w:t>Retencja (rekomendacja)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ACT-01 Checkout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Administrator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N/A obecnie; FUTURE: współadministrator (zakres transakcyjny) / niezależny administrator po otrzymaniu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6(1)(b); pomocniczo 6(1)(f)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Art. 13 przy kolekcji (obecna legalNote niewystarczająca); FUTURE: art. 14 dla Partnera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orders: 3 lata (roszczenia); dane fakturowane 5 lat; potem anonimizacja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ACT-02 RFQ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Administrator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jw.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6(1)(b) (kroki przed zawarciem umowy); pomocniczo 6(1)(f)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Art. 13; USUNĄĆ/PRZEBUDOWAĆ rfqLabels.consent (zgoda nie jest podstawą RFQ)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rfq_leads: 12 mies. od ostatniej aktywności; konwersja → reżim orders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ACT-03 Admin auth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Administrator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6(1)(f); ewent. 6(1)(b)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Art. 13 (admin jako osoba)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Konto: rola + 6 mies.; logi: 12 mies.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ACT-04 Outbound clicks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Administrator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6(1)(f) + LIA (atrybucja prowizji)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Art. 13(1)(f) — cel + odbiorcy w polityce prywatności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surowe logi 12 mies.; agregaty anonimowe dłużej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ACT-05 Cart &amp; session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Administrator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N/A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6(1)(b); cookie: wyjątek ePrivacy przy cookie sesyjnym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Art. 13 + informacja o czasie przechowywania cookie (C-61/19)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cart_items: 30 dni / okres sesji (wg decyzji cookie)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</w:rPr>
              <w:t>ACT-06 Partner contact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Administrator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Partner = podmiot danych (nie procesor)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6(1)(f); 6(1)(b)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Art. 13 przy onboardingu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współpraca + 3 lata; dokumenty księgowe 5 lat</w:t>
            </w:r>
          </w:p>
        </w:tc>
      </w:tr>
    </w:tbl>
    <w:p/>
    <w:p>
      <w:pPr>
        <w:pStyle w:val="Heading2"/>
      </w:pPr>
      <w:r>
        <w:rPr>
          <w:color w:val="2E75B6"/>
        </w:rPr>
        <w:t>8.2 Kluczowe werdykty RODO</w:t>
      </w:r>
    </w:p>
    <w:p>
      <w:pPr>
        <w:pStyle w:val="ListBullet"/>
      </w:pPr>
      <w:r>
        <w:t>Zgoda NIE jest wymagana dla żadnego obecnego celu podstawowego (checkout, RFQ, sesja, analityka, auth). Wyjątki: (a) cookie 30-dniowe — zgoda ePrivacy (art. 175 PKE), jeśli nie zostanie zredukowane do sesyjnego; (b) przyszły marketing — osobna zgoda.</w:t>
      </w:r>
    </w:p>
    <w:p>
      <w:pPr>
        <w:pStyle w:val="ListBullet"/>
      </w:pPr>
      <w:r>
        <w:t>Obecny tekst rfqLabels.consent jest błędnie skonstruowany (zgoda na samo przetwarzanie RFQ) → usunąć/przebudować; ryzyko naruszenia art. 7(4) RODO.</w:t>
      </w:r>
    </w:p>
    <w:p>
      <w:pPr>
        <w:pStyle w:val="ListBullet"/>
      </w:pPr>
      <w:r>
        <w:t>Brak flagi Secure w cookie = realna luka bezpieczeństwa (art. 32 RODO) → P0.</w:t>
      </w:r>
    </w:p>
    <w:p>
      <w:pPr>
        <w:pStyle w:val="ListBullet"/>
      </w:pPr>
      <w:r>
        <w:t>DPA z Supabase jest OBOWIĄZKOWY (art. 28(3)) — VENDOR_DPA_STATUS=NOT_VERIFIED musi zostać zamknięty przed produkcją; weryfikacja subprocesorów, region EEA, analiza transferu (DPF/SCC + TIA).</w:t>
      </w:r>
    </w:p>
    <w:p>
      <w:pPr>
        <w:pStyle w:val="ListBullet"/>
      </w:pPr>
      <w:r>
        <w:t>Przepływ LogiMarket → Partner (FUTURE): uzgodnienie art. 26 (współadministrowanie w zakresie kolekcji i przekazania — linia Fashion ID) LUB klauzule C2C; NIE DPA art. 28 (Partner nie działa „na polecenie” LogiMarket). Uzgodnienie PRZED uruchomieniem przepływu + aktualizacja notyfikacji art. 13.</w:t>
      </w:r>
    </w:p>
    <w:p>
      <w:pPr>
        <w:pStyle w:val="ListBullet"/>
      </w:pPr>
      <w:r>
        <w:t>Partner ma obowiązki z art. 14 przy otrzymaniu danych kupującego (terminy art. 14(3); wyłączenie art. 14(5)(a) możliwe, jeśli LogiMarket poinformował przy kolekcji i może to udowodnić; mechanizm przekazania noty przy ujawnieniu — art. 14(3)(c)).</w:t>
      </w:r>
    </w:p>
    <w:p>
      <w:pPr>
        <w:pStyle w:val="ListBullet"/>
      </w:pPr>
      <w:r>
        <w:t>B2B NIE wyłącza RODO — dane kontaktowe osób fizycznych (także w działalności) są danymi osobowymi (recital 14; C-101/01, C-434/16, C-582/14; SN III CZP 8/20).</w:t>
      </w:r>
    </w:p>
    <w:p>
      <w:pPr>
        <w:pStyle w:val="ListBullet"/>
      </w:pPr>
      <w:r>
        <w:t>DPIA: prawdopodobnie nieobowiązkowa dla MVP, ale wymagany udokumentowany screening (art. 35); ponowny screening przy profilowaniu/scoringu i danych płatniczych na dużą skalę.</w:t>
      </w:r>
    </w:p>
    <w:p>
      <w:pPr>
        <w:pStyle w:val="ListBullet"/>
      </w:pPr>
      <w:r>
        <w:t>Proces żądań osób (art. 12–23) dla nieuwierzytelnionych użytkowników: weryfikacja tożsamości przez e-mail + referencję zamówienia; kontakt privacy@logimarket.eu; ROPA (art. 30(1)) z wpisami 1:1 do ACT-01..06; procedura naruszeń 72 h (art. 33/34).</w:t>
      </w:r>
    </w:p>
    <w:p>
      <w:pPr>
        <w:pStyle w:val="Heading2"/>
      </w:pPr>
      <w:r>
        <w:rPr>
          <w:color w:val="2E75B6"/>
        </w:rPr>
        <w:t>8.3 Retencja — harmonogram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Obszar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Okres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Trigger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Podstawa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cart_items (porzucone)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30 dni / okres sesji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remove/clear/udany checkout; cron po updated_at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6(1)(b)/(f); minimalizacja 5(1)(c)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orders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3 lata (PII); 5 lat (dane fakturowane)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status finalny; dokumenty księgowe — koniec roku + 5 lat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6(1)(f) (art. 118 KC); 6(1)(c) (art. 112 Ord. pod., art. 74 uor)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rfq_leads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12 mies. od ostatniej aktywności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status leadu / inactivity timer; konwersja → orders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6(1)(f)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clicks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12 mies. (surowe); agregaty dłużej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timer od zdarzenia; rotacja klucza HMAC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6(1)(f) + LIA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auth/accounts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rola + 6 mies.; logi 12 mies.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offboarding / timer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6(1)(f); ewent. NIS2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partners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współpraca + 3 lata; księgowość 5 lat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koniec współpracy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6(1)(f)/(b); 6(1)(c)</w:t>
            </w:r>
          </w:p>
        </w:tc>
      </w:tr>
    </w:tbl>
    <w:p/>
    <w:p>
      <w:r>
        <w:rPr>
          <w:b w:val="0"/>
          <w:i w:val="0"/>
        </w:rPr>
        <w:t>Wdrożenie techniczne: cron/edge function w Supabase, twarde DELETE (cart/rfq/clicks), anonimizacja PII dla orders po 5 latach; retencja backupów udokumentowana osobno (backup nie może być obejściem retencji).</w:t>
      </w:r>
    </w:p>
    <w:p>
      <w:pPr>
        <w:pStyle w:val="Heading1"/>
      </w:pPr>
      <w:r>
        <w:rPr>
          <w:color w:val="1F3B5C"/>
        </w:rPr>
        <w:t>9. Uzupełnienie — VAT, KSeF, DAC7, AML (obszary nieujęte w pytaniach, a blokujące)</w:t>
      </w:r>
    </w:p>
    <w:p>
      <w:r>
        <w:rPr>
          <w:b w:val="0"/>
          <w:i w:val="0"/>
        </w:rPr>
        <w:t>Uwaga: obszar podatkowy nie był objęty pytaniami klienta, ale ma bezpośredni wpływ na architekturę (KSeF), model płatności i onboarding Partnerów (DAC7/KYB).</w:t>
      </w:r>
    </w:p>
    <w:p>
      <w:pPr>
        <w:pStyle w:val="Heading2"/>
      </w:pPr>
      <w:r>
        <w:rPr>
          <w:color w:val="2E75B6"/>
        </w:rPr>
        <w:t>9.1 VAT</w:t>
      </w:r>
    </w:p>
    <w:p>
      <w:pPr>
        <w:pStyle w:val="ListBullet"/>
      </w:pPr>
      <w:r>
        <w:t>Deemed supplier (art. 14a dyrektywy 2006/112/WE; art. 9a ustawy o VAT): NIE dotyczy czystego modelu B2B (reguła obejmuje B2C oraz import przesyłek ≤150 EUR). Ryzyko pojawi się przy B2C, imporcie ≤150 EUR lub modelu resellera — stąd czysta konstrukcja umowna (sekcja 3).</w:t>
      </w:r>
    </w:p>
    <w:p>
      <w:pPr>
        <w:pStyle w:val="ListBullet"/>
      </w:pPr>
      <w:r>
        <w:t>OSS/IOSS: niepotrzebne w modelu B2B (narzędzia B2C); wrócić przy wejściu w B2C.</w:t>
      </w:r>
    </w:p>
    <w:p>
      <w:pPr>
        <w:pStyle w:val="ListBullet"/>
      </w:pPr>
      <w:r>
        <w:t>VAT prowizji: 23% (Partnerzy PL); 0% + reverse charge dla Partnerów UE z ważnym NIP VIES (art. 28b ust. 1 ustawy o VAT) — bieżąca weryfikacja VIES.</w:t>
      </w:r>
    </w:p>
    <w:p>
      <w:pPr>
        <w:pStyle w:val="ListBullet"/>
      </w:pPr>
      <w:r>
        <w:t>Split payment: prowizja poza załącznikiem nr 15; obowiązkowy MPP przy towarach wrażliwych &gt;15 000 zł brutto (po stronie kupującego); biała lista + odpowiedzialność solidarna (art. 117ba Ordynacji podatkowej).</w:t>
      </w:r>
    </w:p>
    <w:p>
      <w:pPr>
        <w:pStyle w:val="ListBullet"/>
      </w:pPr>
      <w:r>
        <w:t>Moment przychodu/VAT prowizji: wykonanie usługi (art. 19a ust. 1 ustawy o VAT) = sfinalizowanie transakcji wg Regulaminu; preautoryzacja NIE rodzi VAT ani przychodu; capture = płatność, nie moment rozpoznania; zaliczka przed usługą = VAT/przychód w dniu otrzymania. Wymagana definicja „wykonania usługi” w Regulaminie + ulga na złe długi (art. 89a).</w:t>
      </w:r>
    </w:p>
    <w:p>
      <w:pPr>
        <w:pStyle w:val="ListBullet"/>
      </w:pPr>
      <w:r>
        <w:t>RFQ transgraniczne: RFQ jako takie bez skutków VAT; WDT/WNT po stronie Partnerów; brak obowiązku rejestracji VAT za granicą (bez magazynów zagranicznych, B2C i stałego miejsca prowadzenia działalności — art. 11 rozporządzenia 282/2011).</w:t>
      </w:r>
    </w:p>
    <w:p>
      <w:pPr>
        <w:pStyle w:val="ListBullet"/>
      </w:pPr>
      <w:r>
        <w:t>PCC: nie występuje (pośrednictwo poza katalogiem art. 1 ustawy o PCC; sprzedaż opodatkowana VAT wyłączona — art. 2 pkt 4).</w:t>
      </w:r>
    </w:p>
    <w:p>
      <w:pPr>
        <w:pStyle w:val="ListBullet"/>
      </w:pPr>
      <w:r>
        <w:t>WHT: towary — bez WHT; usługi/licencje/pośrednictwo od podmiotów zagranicznych — ryzyko WHT 20% (art. 21 ustawy o CIT; obniżenie wg UPO — art. 7, brak zakładu); mechanizm pay-and-refund przy &gt;2 mln zł.</w:t>
      </w:r>
    </w:p>
    <w:p>
      <w:pPr>
        <w:pStyle w:val="Heading2"/>
      </w:pPr>
      <w:r>
        <w:rPr>
          <w:color w:val="2E75B6"/>
        </w:rPr>
        <w:t>9.2 KSeF — PRIORYTET</w:t>
      </w:r>
    </w:p>
    <w:p>
      <w:pPr>
        <w:pStyle w:val="ListBullet"/>
      </w:pPr>
      <w:r>
        <w:t>Obowiązek wystawiania faktur ustrukturyzowanych w KSeF: od 1.02.2026 (duzi podatnicy &gt;200 mln zł) / 1.04.2026 (pozostali czynni podatnicy — w tym LogiMarket); obowiązek ODBIORU od 1.02.2026 dla wszystkich; faktury B2C konsumenckie wyłączone; trzeci etap 1.01.2027 wg części źródeł (do weryfikacji w komunikatach MF).</w:t>
      </w:r>
    </w:p>
    <w:p>
      <w:pPr>
        <w:pStyle w:val="ListBullet"/>
      </w:pPr>
      <w:r>
        <w:t>Wdrożenie: integracja API KSeF, tryb awaryjny, upoważnienia; faktury prowizyjne w KSeF od startu; wymóg KSeF uwzględnić wobec Partnerów (faktury za towar); sankcje za wystawianie poza KSeF — do 100% podatku + odpowiedzialność karno-skarbowa.</w:t>
      </w:r>
    </w:p>
    <w:p>
      <w:pPr>
        <w:pStyle w:val="Heading2"/>
      </w:pPr>
      <w:r>
        <w:rPr>
          <w:color w:val="2E75B6"/>
        </w:rPr>
        <w:t>9.3 DAC7 i KYB</w:t>
      </w:r>
    </w:p>
    <w:p>
      <w:pPr>
        <w:pStyle w:val="ListBullet"/>
      </w:pPr>
      <w:r>
        <w:t>DAC7 (dyrektywa 2021/514; ustawa o wymianie informacji podatkowych): LogiMarket = operator platformy cyfrowej → obowiązek due diligence wobec Partnerów i rocznego raportowania do Szefa KAS (do 31 stycznia); progi: &gt;30 transakcji LUB &gt;2 000 EUR rocznie; sankcje do 1 mln zł.</w:t>
      </w:r>
    </w:p>
    <w:p>
      <w:pPr>
        <w:pStyle w:val="ListBullet"/>
      </w:pPr>
      <w:r>
        <w:t>Konsekwencja: onboarding Partnerów musi zbierać dane DAC7 (nazwa, adres, TIN/NIP, VAT UE, rejestr, IBAN, beneficjenci) — to de facto obowiązkowe KYB od startu; wspiera metodologię B2B (sekcja 7).</w:t>
      </w:r>
    </w:p>
    <w:p>
      <w:pPr>
        <w:pStyle w:val="Heading2"/>
      </w:pPr>
      <w:r>
        <w:rPr>
          <w:color w:val="2E75B6"/>
        </w:rPr>
        <w:t>9.4 AML / usługi płatnicze</w:t>
      </w:r>
    </w:p>
    <w:p>
      <w:pPr>
        <w:pStyle w:val="ListBullet"/>
      </w:pPr>
      <w:r>
        <w:t>Marketplace B2B NIE jest instytucją obowiązaną AML (zamknięty katalog art. 2 ustawy AML).</w:t>
      </w:r>
    </w:p>
    <w:p>
      <w:pPr>
        <w:pStyle w:val="ListBullet"/>
      </w:pPr>
      <w:r>
        <w:t>RYZYKO: escrow na własnym rachunku / przyjmowanie i przekazywanie płatności = świadczenie usług płatniczych bez zezwolenia (ustawa o usługach płatniczych, PSD2) → reżim AML + licencja. Rekomendacja MVP: direct pay-out przez licencjonowany PSP (środki nie przechodzą przez rachunek LogiMarket).</w:t>
      </w:r>
    </w:p>
    <w:p>
      <w:pPr>
        <w:pStyle w:val="ListBullet"/>
      </w:pPr>
      <w:r>
        <w:t>Wyłączenie „agenta handlowego” (art. 3 ust. 2 ustawy o usługach płatniczych) jest wąskie i nie obejmuje modelu rozliczającego obie strony.</w:t>
      </w:r>
    </w:p>
    <w:p>
      <w:pPr>
        <w:pStyle w:val="Heading1"/>
      </w:pPr>
      <w:r>
        <w:rPr>
          <w:color w:val="1F3B5C"/>
        </w:rPr>
        <w:t>10. Dodatkowe zagadnienia prawne, których nie ujęto w pakiecie (Blok H)</w:t>
      </w:r>
    </w:p>
    <w:p>
      <w:pPr>
        <w:pStyle w:val="ListBullet"/>
      </w:pPr>
      <w:r>
        <w:t>Rękojmia/gwarancja w B2B (art. 556–576 KC) — możliwość wyłączenia/ograniczenia odpowiedzialności w B2B (art. 558 §1 KC) — decyzja biznesowa + pola w ofercie;</w:t>
      </w:r>
    </w:p>
    <w:p>
      <w:pPr>
        <w:pStyle w:val="ListBullet"/>
      </w:pPr>
      <w:r>
        <w:t>Zwroty B2B — brak ustawowego prawa odstąpienia; decyzja: jednolite zasady platformy vs. indywidualne Partnera (rekomendacja: jednolite minimum);</w:t>
      </w:r>
    </w:p>
    <w:p>
      <w:pPr>
        <w:pStyle w:val="ListBullet"/>
      </w:pPr>
      <w:r>
        <w:t>Prawo właściwe i jurysdykcja (Rzym I art. 3; Bruksela I bis art. 25) — klauzule dla Partnerów UE i kupujących UE; ochrona konsumenta (art. 6 Rzym I) — kolejny argument za gatingiem B2B;</w:t>
      </w:r>
    </w:p>
    <w:p>
      <w:pPr>
        <w:pStyle w:val="ListBullet"/>
      </w:pPr>
      <w:r>
        <w:t>Własność intelektualna — licencja Partnera na treści ofert, odpowiedzialność za naruszenia, procedura zgłoszeń (DSA notice &amp; action);</w:t>
      </w:r>
    </w:p>
    <w:p>
      <w:pPr>
        <w:pStyle w:val="ListBullet"/>
      </w:pPr>
      <w:r>
        <w:t>UZNK (nowelizacja dot. usług pośrednictwa) — ryzyko roszczeń Partnerów;</w:t>
      </w:r>
    </w:p>
    <w:p>
      <w:pPr>
        <w:pStyle w:val="ListBullet"/>
      </w:pPr>
      <w:r>
        <w:t>NIS2 — marketplace B2B co do zasady poza zakresem (mały podmiot), ale podstawy bezpieczeństwa (art. 32 RODO) i plan reakcji na incydenty;</w:t>
      </w:r>
    </w:p>
    <w:p>
      <w:pPr>
        <w:pStyle w:val="ListBullet"/>
      </w:pPr>
      <w:r>
        <w:t>eIDAS 2.0 / European Digital Identity Wallet (2026–2027) — przyszłe możliwości weryfikacji tożsamości przedsiębiorców (wzmocnienie gatingu B2B);</w:t>
      </w:r>
    </w:p>
    <w:p>
      <w:pPr>
        <w:pStyle w:val="ListBullet"/>
      </w:pPr>
      <w:r>
        <w:t>AI Act — przy przyszłym automatycznym rankingu/scoringu (MVP: manualny — poza zakresem);</w:t>
      </w:r>
    </w:p>
    <w:p>
      <w:pPr>
        <w:pStyle w:val="ListBullet"/>
      </w:pPr>
      <w:r>
        <w:t>procedura awaryjna dla „przecieku” konsumenckiego (identyfikacja po fakcie, odstąpienie 14 dni, zwroty).</w:t>
      </w:r>
    </w:p>
    <w:p>
      <w:pPr>
        <w:pStyle w:val="Heading1"/>
      </w:pPr>
      <w:r>
        <w:rPr>
          <w:color w:val="1F3B5C"/>
        </w:rPr>
        <w:t>11. Macierz decyzji w formacie kancelarii (wg Legal Decision Pack §6)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Gate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Werdykt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Podstawa prawna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Wymagane zmiany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Wpływ na 56B1/56B2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LEG-MKT-01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art. 540, 384 KC; DSA art. 4–6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Regulamin: rola pośrednika, podział odpowiedzialności; UI: komunikaty; zakaz faktur towarowych i escrow własnego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Odblokowuje encje transakcyjne (order, role stron)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LEG-MKT-02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art. 66, 66¹, 68–70, 61, 72, 72¹ KC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Statusy zamówienia, capture po akceptacji, zastrzeżenia wyceny RFQ, rejestracja czasów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Logika transakcyjna: oferta→akceptacja→umowa; statusy E2/E6/E7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LEG-MKT-03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art. 540, 66 §1 KC; uśude art. 5; P2B art. 9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Pola disclosure w ofercie i checkout; rozdzielenie publiczne/KYB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Pola: seller legal name, VAT ID, adres, role (faktura/dostawa/reklamacje)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LEG-MKT-04 (P2B)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rozp. 2019/1150 art. 3–5, 7–10, 12; ustawa 2020 poz. 1298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System skarg, uzasadnienia zawieszeń, opis rankingu, 15 dni przy zmianach, mediacja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Procesy (nie schema): workflow moderacji i skarg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DSA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rozp. 2022/2065 art. 3, 11, 13, 15, 19, 26, 30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Warunki korzystania (art. 13), punkt kontaktowy, sprawozdania, oznaczenia promocyjne; neutralność techniczna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Brak blokady schema; wymaga zapisów w regulaminie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LEG-MKT-08 (B2B)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art. 43¹, 22¹ KC; u.p.k.; DSA art. 30; Rzym I art. 6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Pola NIP/VAT ID + weryfikacja (biała lista/CEIDG/KRS/VIES), deklaracja, monitoring, procedura awaryjna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SCHEMAT: pola NIP/VAT ID, status weryfikacji, deklaracja (obecnie brak)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LEG-MKT-09 (RODO)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RODO art. 4, 6, 13–14, 26, 28, 30, 32–35; EDPB 07/2020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Klauzule art. 13, usunięcie rfqLabels.consent, Secure flag, DPA Supabase, art. 26 przed przepływem, ROPA, LIA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Pola: zgody/marketing (opcjonalne), statusy przetwarzania; bez blokady schema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OMQ-MKT-11 (retencja)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APPROVED_WITH_CONDITIONS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RODO art. 5(1)(e); KC art. 118; Ord. pod. art. 112; uor art. 74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Harmonogram retencji + cron (cart 30d, rfq 12m, clicks 12m, orders 3/5 lat)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Pola: updated_at, statusy, joby czyszczące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VAT/KSeF (uzup.)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WYMAGA DZIAŁAŃ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art. 9a, 19a, 28b ustawy o VAT; KSeF (e-faktury)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Integracja KSeF (priorytet), definicja „wykonania usługi”, reverse charge + VIES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Bez wpływu na schema transakcyjny; wymaga pól VAT Partnerów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DAC7 (uzup.)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WYMAGA DZIAŁAŃ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dyrektywa 2021/514; ustawa o wymianie informacji podatkowych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Onboarding KYB (dane DAC7, IBAN, beneficjenci), raport roczny do 31.01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Pola: dane rejestrowe i podatkowe Partnerów</w:t>
            </w:r>
          </w:p>
        </w:tc>
      </w:tr>
    </w:tbl>
    <w:p/>
    <w:p>
      <w:pPr>
        <w:pStyle w:val="Heading1"/>
      </w:pPr>
      <w:r>
        <w:rPr>
          <w:color w:val="1F3B5C"/>
        </w:rPr>
        <w:t>12. Priorytety wdrożeniowe</w:t>
      </w:r>
    </w:p>
    <w:p>
      <w:pPr>
        <w:pStyle w:val="Heading2"/>
      </w:pPr>
      <w:r>
        <w:rPr>
          <w:color w:val="2E75B6"/>
        </w:rPr>
        <w:t>P0 — blokujące (przed produkcją / uruchomieniem przepływu do Partnera)</w:t>
      </w:r>
    </w:p>
    <w:p>
      <w:pPr>
        <w:pStyle w:val="ListBullet"/>
      </w:pPr>
      <w:r>
        <w:t>Zamknięcie klauzul informacyjnych art. 13 w checkout i RFQ (pełna treść; wskazanie Partnera jako przyszłego odbiorcy; oznaczenie pól opcjonalnych);</w:t>
      </w:r>
    </w:p>
    <w:p>
      <w:pPr>
        <w:pStyle w:val="ListBullet"/>
      </w:pPr>
      <w:r>
        <w:t>Usunięcie/przebudowa rfqLabels.consent (zgoda nie jest podstawą RFQ);</w:t>
      </w:r>
    </w:p>
    <w:p>
      <w:pPr>
        <w:pStyle w:val="ListBullet"/>
      </w:pPr>
      <w:r>
        <w:t>Secure flag cookie (+ HTTPS/HSTS; rozważyć prefiks __Host-);</w:t>
      </w:r>
    </w:p>
    <w:p>
      <w:pPr>
        <w:pStyle w:val="ListBullet"/>
      </w:pPr>
      <w:r>
        <w:t>DPA z Supabase (art. 28(3)) + subprocesory + region EEA + analiza transferu (DPF/SCC + TIA);</w:t>
      </w:r>
    </w:p>
    <w:p>
      <w:pPr>
        <w:pStyle w:val="ListBullet"/>
      </w:pPr>
      <w:r>
        <w:t>Harmonogram retencji + automatyczne usunięcia (cron);</w:t>
      </w:r>
    </w:p>
    <w:p>
      <w:pPr>
        <w:pStyle w:val="ListBullet"/>
      </w:pPr>
      <w:r>
        <w:t>Przed pierwszym przekazaniem danych do Partnera: uzgodnienie art. 26 (lub C2C) + nota art. 14 + aktualizacja notyfikacji;</w:t>
      </w:r>
    </w:p>
    <w:p>
      <w:pPr>
        <w:pStyle w:val="ListBullet"/>
      </w:pPr>
      <w:r>
        <w:t>Pola NIP/VAT ID + weryfikacja B2B (LEG-MKT-08) w schemacie.</w:t>
      </w:r>
    </w:p>
    <w:p>
      <w:pPr>
        <w:pStyle w:val="Heading2"/>
      </w:pPr>
      <w:r>
        <w:rPr>
          <w:color w:val="2E75B6"/>
        </w:rPr>
        <w:t>P1 — przed skalowaniem</w:t>
      </w:r>
    </w:p>
    <w:p>
      <w:pPr>
        <w:pStyle w:val="ListBullet"/>
      </w:pPr>
      <w:r>
        <w:t>Decyzja cookie: redukcja maxAge do sesji ALBO banner zgody (art. 175 PKE; C-673/17 — aktywny opt-in);</w:t>
      </w:r>
    </w:p>
    <w:p>
      <w:pPr>
        <w:pStyle w:val="ListBullet"/>
      </w:pPr>
      <w:r>
        <w:t>LIA na piśmie (analityka ACT-04, relacje partnerskie ACT-06) + prawo sprzeciwu art. 21;</w:t>
      </w:r>
    </w:p>
    <w:p>
      <w:pPr>
        <w:pStyle w:val="ListBullet"/>
      </w:pPr>
      <w:r>
        <w:t>ROPA (art. 30), rejestr subprocesorów, rejestr naruszeń, procedura 72 h;</w:t>
      </w:r>
    </w:p>
    <w:p>
      <w:pPr>
        <w:pStyle w:val="ListBullet"/>
      </w:pPr>
      <w:r>
        <w:t>Proces żądań osób (art. 12–23) + kontakt privacy@;</w:t>
      </w:r>
    </w:p>
    <w:p>
      <w:pPr>
        <w:pStyle w:val="ListBullet"/>
      </w:pPr>
      <w:r>
        <w:t>Polityka prywatności + polityka cookie; screening DPIA (art. 35);</w:t>
      </w:r>
    </w:p>
    <w:p>
      <w:pPr>
        <w:pStyle w:val="ListBullet"/>
      </w:pPr>
      <w:r>
        <w:t>Wdrożenie obowiązków P2B (system skarg, uzasadnienia, opis rankingu, mediacja) i DSA (warunki, punkt kontaktowy, sprawozdania);</w:t>
      </w:r>
    </w:p>
    <w:p>
      <w:pPr>
        <w:pStyle w:val="ListBullet"/>
      </w:pPr>
      <w:r>
        <w:t>Integracja KSeF (faktury prowizyjne) — zgodnie z harmonogramem 2026.</w:t>
      </w:r>
    </w:p>
    <w:p>
      <w:pPr>
        <w:pStyle w:val="Heading2"/>
      </w:pPr>
      <w:r>
        <w:rPr>
          <w:color w:val="2E75B6"/>
        </w:rPr>
        <w:t>P2 — dobre praktyki</w:t>
      </w:r>
    </w:p>
    <w:p>
      <w:pPr>
        <w:pStyle w:val="ListBullet"/>
      </w:pPr>
      <w:r>
        <w:t>Rotacja klucza HMAC (ACT-04) i retencja klucza wraz z logami;</w:t>
      </w:r>
    </w:p>
    <w:p>
      <w:pPr>
        <w:pStyle w:val="ListBullet"/>
      </w:pPr>
      <w:r>
        <w:t>Zakaz danych wrażliwych w polu message (walidacja + nota);</w:t>
      </w:r>
    </w:p>
    <w:p>
      <w:pPr>
        <w:pStyle w:val="ListBullet"/>
      </w:pPr>
      <w:r>
        <w:t>Anonimizacja historycznych orders po 5 latach;</w:t>
      </w:r>
    </w:p>
    <w:p>
      <w:pPr>
        <w:pStyle w:val="ListBullet"/>
      </w:pPr>
      <w:r>
        <w:t>Umowa partnerska: limit celu, zakaz dalszego przekazywania, bezpieczeństwo, retencja, współpraca przy żądaniach i naruszeniach;</w:t>
      </w:r>
    </w:p>
    <w:p>
      <w:pPr>
        <w:pStyle w:val="ListBullet"/>
      </w:pPr>
      <w:r>
        <w:t>Przy wyborze PSP: analiza vendor (DPA, transfer, tokenizacja danych płatniczych);</w:t>
      </w:r>
    </w:p>
    <w:p>
      <w:pPr>
        <w:pStyle w:val="ListBullet"/>
      </w:pPr>
      <w:r>
        <w:t>Monitorowanie: eIDAS 2.0, AI Act, komunikaty MF (KSeF etap 3).</w:t>
      </w:r>
    </w:p>
    <w:p>
      <w:pPr>
        <w:pStyle w:val="Heading1"/>
      </w:pPr>
      <w:r>
        <w:rPr>
          <w:color w:val="1F3B5C"/>
        </w:rPr>
        <w:t>13. Zastrzeżenia i dalsze kroki</w:t>
      </w:r>
    </w:p>
    <w:p>
      <w:r>
        <w:rPr>
          <w:b w:val="0"/>
          <w:i w:val="0"/>
        </w:rPr>
        <w:t>1. Dokument ma charakter analizy roboczej przygotowanej do weryfikacji przez kancelarię i DPO; nie stanowi opinii prawnej ani doradztwa podatkowego.</w:t>
      </w:r>
    </w:p>
    <w:p>
      <w:r>
        <w:rPr>
          <w:b w:val="0"/>
          <w:i w:val="0"/>
        </w:rPr>
        <w:t>2. Wskazane werdykty (APPROVED_WITH_CONDITIONS / WYMAGA DZIAŁAŃ) są propozycjami analitycznymi i wymagają potwierdzenia przez kancelarię; po ich akceptacji należy uzupełnić gate register (LEG-MKT-01..09, OMQ-MKT-11) i przeprowadzić osobny readiness review przed zmianami schematu (LM_MARKETPLACE_SCHEMA_56B1_READY=YES dopiero po tym przeglądzie).</w:t>
      </w:r>
    </w:p>
    <w:p>
      <w:r>
        <w:rPr>
          <w:b w:val="0"/>
          <w:i w:val="0"/>
        </w:rPr>
        <w:t>3. Zalecane dalsze kroki: (a) weryfikacja brzmienia art. 66¹ §2 KC, art. 19 DSA (lista wyłączeń) i art. 175 PKE w aktualnych tekstach jednolitych; (b) potwierdzenie harmonogramu KSeF w komunikatach MF; (c) decyzja co do cookie (sesyjne vs. 30 dni + banner); (d) decyzja co do modelu płatności (direct pay-out przez licencjonowany PSP); (e) projekt klauzul: regulamin, umowa partnerska, uzgodnienie art. 26, DPA Supabase.</w:t>
      </w:r>
    </w:p>
    <w:p>
      <w:r>
        <w:rPr>
          <w:b w:val="0"/>
          <w:i w:val="0"/>
        </w:rPr>
        <w:t>4. Źródła: dokumenty Zamawiającego (Counsel Pack v1.0), teksty aktów prawnych (KC Dz.U. 2026 poz. 795; RODO; DSA 2022/2065; P2B 2019/1150; uśude; u.p.k.; ustawa o VAT; KSeF — ksef.podatki.gov.pl), orzecznictwo TSUE i SN oraz EDPB Guidelines — zweryfikowane 9.08.2026.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