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Inter" w:hAnsi="Inter"/>
          <w:color w:val="677180"/>
          <w:sz w:val="18"/>
        </w:rPr>
        <w:t>9 sierpnia 2026 r.</w:t>
      </w:r>
    </w:p>
    <w:p>
      <w:pPr>
        <w:spacing w:after="200"/>
      </w:pPr>
      <w:r>
        <w:rPr>
          <w:rFonts w:ascii="Inter" w:hAnsi="Inter"/>
          <w:b/>
          <w:color w:val="141C2C"/>
          <w:sz w:val="56"/>
        </w:rPr>
        <w:t>LOGIMARKET.</w:t>
      </w:r>
      <w:r>
        <w:rPr>
          <w:rFonts w:ascii="Inter" w:hAnsi="Inter"/>
          <w:b/>
          <w:color w:val="147487"/>
          <w:sz w:val="56"/>
        </w:rPr>
        <w:t>EU</w:t>
      </w:r>
    </w:p>
    <w:p>
      <w:pPr>
        <w:spacing w:after="80"/>
        <w:pBdr>
          <w:bottom w:val="single" w:sz="12" w:space="5" w:color="147487"/>
        </w:pBdr>
      </w:pPr>
      <w:r>
        <w:rPr>
          <w:rFonts w:ascii="Inter" w:hAnsi="Inter"/>
          <w:b/>
          <w:color w:val="141C2C"/>
          <w:sz w:val="40"/>
        </w:rPr>
        <w:t>DPO / Privacy Compliance Final Decision Record</w:t>
      </w:r>
    </w:p>
    <w:p>
      <w:pPr>
        <w:spacing w:after="160"/>
      </w:pPr>
      <w:r>
        <w:rPr>
          <w:rFonts w:ascii="Inter" w:hAnsi="Inter"/>
          <w:color w:val="677180"/>
          <w:sz w:val="22"/>
        </w:rPr>
        <w:t>LogiMarket Marketplace B2B - finalny wewnętrzny record privacy, role RODO, retencja, cookies, vendor/DPA/SCC/TIA i warunki wdrożeniowe.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9" w:space="0" w:color="147487"/>
          <w:left w:val="single" w:sz="9" w:space="0" w:color="147487"/>
          <w:bottom w:val="single" w:sz="9" w:space="0" w:color="147487"/>
          <w:right w:val="single" w:sz="9" w:space="0" w:color="147487"/>
          <w:insideH w:val="single" w:sz="9" w:space="0" w:color="147487"/>
          <w:insideV w:val="single" w:sz="9" w:space="0" w:color="147487"/>
        </w:tblBorders>
      </w:tblPr>
      <w:tblGrid>
        <w:gridCol w:w="10224"/>
      </w:tblGrid>
      <w:tr>
        <w:tc>
          <w:tcPr>
            <w:tcW w:type="dxa" w:w="10224"/>
            <w:shd w:fill="FBF3E4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/>
            <w:r>
              <w:rPr>
                <w:rFonts w:ascii="Inter" w:hAnsi="Inter"/>
                <w:color w:val="141C2C"/>
                <w:sz w:val="18"/>
              </w:rPr>
              <w:t>STATUS: APPROVED WITH CONDITIONS. Privacy architecture została zweryfikowana; implementacyjne evidence pozostaje otwarte. Dokument nie uruchamia zmian w kodzie ani bazie danych.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2D8"/>
          <w:left w:val="single" w:sz="5" w:space="0" w:color="CBD2D8"/>
          <w:bottom w:val="single" w:sz="5" w:space="0" w:color="CBD2D8"/>
          <w:right w:val="single" w:sz="5" w:space="0" w:color="CBD2D8"/>
          <w:insideH w:val="single" w:sz="5" w:space="0" w:color="CBD2D8"/>
          <w:insideV w:val="single" w:sz="5" w:space="0" w:color="CBD2D8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Gate / pole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Stan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PRIVACY_COUNSEL_REVIEW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RECEIVED / APPROVED_WITH_CONDITIONS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FORMAL_IOD_REQUIRED_CURRENT_MVP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NO - re-screening przy zmianie zakresu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LEG-MKT-09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APPROVED_WITH_CONDITIONS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OMQ-MKT-11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APPROVED_WITH_CONDITIONS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DPO_ARCHITECTURAL_BLOCKER_FOR_56B1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CLEARED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LM_MARKETPLACE_SCHEMA_56B1_READY</w:t>
            </w:r>
          </w:p>
        </w:tc>
        <w:tc>
          <w:tcPr>
            <w:tcW w:type="dxa" w:w="59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NO - Tax/DAC7 + Owner/Engineering Readiness nadal otwarte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9" w:space="0" w:color="147487"/>
          <w:left w:val="single" w:sz="9" w:space="0" w:color="147487"/>
          <w:bottom w:val="single" w:sz="9" w:space="0" w:color="147487"/>
          <w:right w:val="single" w:sz="9" w:space="0" w:color="147487"/>
          <w:insideH w:val="single" w:sz="9" w:space="0" w:color="147487"/>
          <w:insideV w:val="single" w:sz="9" w:space="0" w:color="147487"/>
        </w:tblBorders>
      </w:tblPr>
      <w:tblGrid>
        <w:gridCol w:w="10224"/>
      </w:tblGrid>
      <w:tr>
        <w:tc>
          <w:tcPr>
            <w:tcW w:type="dxa" w:w="10224"/>
            <w:shd w:fill="E8F1F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/>
            <w:r>
              <w:rPr>
                <w:rFonts w:ascii="Inter" w:hAnsi="Inter"/>
                <w:color w:val="141C2C"/>
                <w:sz w:val="18"/>
              </w:rPr>
              <w:t>Hierarchia: obowiązujące prawo i najnowsze oficjalne źródła vendora &gt; finalne ustalenia Privacy Counsel &gt; niniejszy record &gt; wcześniejsze drafty/analizy. W razie konfliktu nie używać superseded fragmentów.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100"/>
      </w:pPr>
      <w:r>
        <w:t>1. Executive decision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AB7BF"/>
          <w:left w:val="single" w:sz="5" w:space="0" w:color="AAB7BF"/>
          <w:bottom w:val="single" w:sz="5" w:space="0" w:color="AAB7BF"/>
          <w:right w:val="single" w:sz="5" w:space="0" w:color="AAB7BF"/>
          <w:insideH w:val="single" w:sz="5" w:space="0" w:color="AAB7BF"/>
          <w:insideV w:val="single" w:sz="5" w:space="0" w:color="AAB7BF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/>
                <w:color w:val="141C2C"/>
                <w:sz w:val="17"/>
              </w:rPr>
              <w:t>PRIVACY_COUNSEL_REVIEW_RECEIVED=YES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PRIVACY_COUNSEL_VERDICT=APPROVED_WITH_CONDITIONS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FORMAL_IOD_REQUIRED_CURRENT_MVP=NO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IOD_RESCREEN_REQUIRED_ON_SCOPE_CHANGE=YES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LEG_MKT_09=APPROVED_WITH_CONDITIONS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OMQ_MKT_11=APPROVED_WITH_CONDITIONS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DPO_ARCHITECTURE_REVIEW=PASS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DPO_IMPLEMENTATION_EVIDENCE=OPEN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DPO_ARCHITECTURAL_BLOCKER_FOR_56B1=CLEARED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TAX_DAC7_BLOCKER=OPEN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OWNER_ENGINEERING_READINESS=OPEN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LM_MARKETPLACE_SCHEMA_56B1_READY=NO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t>1.1 Co jest rozstrzygnięte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LogiMarket jest administratorem obecnych operacji ACT-01...ACT-06 w zakresie, w jakim sam ustala ich cele i zasadnicze środki.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Supabase pełni rolę procesora dla danych klienta przetwarzanych w ramach bazy/Auth, zgodnie z aktualnym DPA.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Nie należy globalnie hardcodować Partnera jako procesora ani współadministratora. Rola Partnera jest ustalana per operacja po zaprojektowaniu faktycznego transferu danych.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 xml:space="preserve">Zgoda nie jest podstawą core checkout/RFQ. Obecny </w:t>
      </w:r>
      <w:r>
        <w:rPr>
          <w:rFonts w:ascii="DejaVu Sans Mono" w:hAnsi="DejaVu Sans Mono"/>
          <w:color w:val="147487"/>
          <w:sz w:val="17"/>
        </w:rPr>
        <w:t>rfqLabels.consent</w:t>
      </w:r>
      <w:r>
        <w:rPr>
          <w:rFonts w:ascii="Inter" w:hAnsi="Inter"/>
          <w:color w:val="141C2C"/>
          <w:sz w:val="18"/>
        </w:rPr>
        <w:t xml:space="preserve"> powinien zostać zastąpiony warstwową informacją art. 13 RODO.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Dla MVP rekomendowany jest koszyk oparty o cookie ściśle niezbędne do sesji; jeśli Owner zachowuje trwałe pamiętanie koszyka, wymagana jest osobna kwalifikacja art. 399 PKE i - jeśli brak wyjątku z art. 399 ust. 3 - mechanizm zgody.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 xml:space="preserve">Primary database region Supabase jest w EOG: </w:t>
      </w:r>
      <w:r>
        <w:rPr>
          <w:rFonts w:ascii="DejaVu Sans Mono" w:hAnsi="DejaVu Sans Mono"/>
          <w:color w:val="147487"/>
          <w:sz w:val="17"/>
        </w:rPr>
        <w:t>eu-west-1</w:t>
      </w:r>
      <w:r>
        <w:rPr>
          <w:rFonts w:ascii="Inter" w:hAnsi="Inter"/>
          <w:color w:val="141C2C"/>
          <w:sz w:val="18"/>
        </w:rPr>
        <w:t>, West EU (Ireland). Nie oznacza to jednak braku transferów poza EOG.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Aktualny Supabase DPA zawiera SCC 2021/914 i nie wymaga odrębnego podpisu SCC, ponieważ akceptacja Agreement ma skutek podpisania SCC.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Transfery/onward transfers poza EOG są możliwe i muszą być ujawniane oraz kontrolowane w vendor register.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DPIA nie jest wymagana dla obecnego MVP przy aktualnych faktach, ale screening musi być ponowiony przy zmianie ryzyka/skali/funkcji.</w:t>
      </w:r>
    </w:p>
    <w:p>
      <w:pPr>
        <w:pStyle w:val="Heading2"/>
        <w:keepNext/>
        <w:spacing w:before="140" w:after="60"/>
      </w:pPr>
      <w:r>
        <w:t>1.2 Co pozostaje warunkiem wdrożeniowym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AB7BF"/>
          <w:left w:val="single" w:sz="5" w:space="0" w:color="AAB7BF"/>
          <w:bottom w:val="single" w:sz="5" w:space="0" w:color="AAB7BF"/>
          <w:right w:val="single" w:sz="5" w:space="0" w:color="AAB7BF"/>
          <w:insideH w:val="single" w:sz="5" w:space="0" w:color="AAB7BF"/>
          <w:insideV w:val="single" w:sz="5" w:space="0" w:color="AAB7BF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/>
                <w:color w:val="141C2C"/>
                <w:sz w:val="17"/>
              </w:rPr>
              <w:t>RFQ_CONSENT_REMOVAL=NOT_IMPLEMENTED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ART13_FINAL_UI_NOTICE=NOT_IMPLEMENTED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COOKIE_SECURE_FLAG=NOT_VERIFIED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CART_COOKIE_PRODUCT_DECISION=OPEN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RETENTION_ENFORCEMENT=NOT_IMPLEMENTED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LIA_ACT04=NOT_EVIDENCED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LIA_ACT06=NOT_EVIDENCED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PRIVACY_MAILBOX=NOT_VERIFIED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INTERNAL_VENDOR_REGISTER=OPEN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CURRENT_SUPABASE_TIA_REFRESH=REQUIRED_BEFORE_GO_LIVE_OR_PERIODIC_VENDOR_REVIEW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PARTNER_ART26_OR_C2C=FUTURE_BEFORE_FIRST_PRODUCTION_PII_TRANSFER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2. Screening obowiązku formalnego wyznaczenia IOD - art. 37 RODO</w:t>
      </w:r>
    </w:p>
    <w:p>
      <w:pPr>
        <w:pStyle w:val="Heading2"/>
        <w:keepNext/>
        <w:spacing w:before="140" w:after="60"/>
      </w:pPr>
      <w:r>
        <w:t>2.1 Werdykt</w:t>
      </w:r>
    </w:p>
    <w:p>
      <w:pPr>
        <w:spacing w:after="100" w:line="254" w:lineRule="auto"/>
      </w:pPr>
      <w:r>
        <w:rPr>
          <w:rFonts w:ascii="Inter" w:hAnsi="Inter"/>
          <w:b/>
          <w:color w:val="141C2C"/>
          <w:sz w:val="19"/>
        </w:rPr>
        <w:t>FORMAL_IOD_REQUIRED_CURRENT_MVP = NO</w:t>
      </w:r>
      <w:r>
        <w:rPr>
          <w:rFonts w:ascii="Inter" w:hAnsi="Inter"/>
          <w:color w:val="141C2C"/>
          <w:sz w:val="19"/>
        </w:rPr>
        <w:t>, na podstawie obecnych faktów i z zastrzeżeniem re-screeningu.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Aktualny MVP nie zakłada jako głównej działalności: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regularnego i systematycznego monitorowania osób na dużą skalę;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przetwarzania na dużą skalę szczególnych kategorii danych z art. 9 RODO lub danych z art. 10;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automatycznego profilowania/scoringu użytkowników na dużą skalę.</w:t>
      </w:r>
    </w:p>
    <w:p>
      <w:pPr>
        <w:pStyle w:val="Heading2"/>
        <w:keepNext/>
        <w:spacing w:before="140" w:after="60"/>
      </w:pPr>
      <w:r>
        <w:t>2.2 Model operacyjny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LogiMarket może korzystać z zewnętrznego Privacy Counsel / privacy advisor bez formalnego wyznaczania tej osoby jako IOD. Komunikacja publiczna nie powinna jednak sugerować istnienia formalnego IOD, jeżeli nie został on wyznaczony zgodnie z art. 37-39 RODO.</w:t>
      </w:r>
    </w:p>
    <w:p>
      <w:pPr>
        <w:spacing w:after="100" w:line="254" w:lineRule="auto"/>
      </w:pPr>
      <w:r>
        <w:rPr>
          <w:rFonts w:ascii="Inter" w:hAnsi="Inter"/>
          <w:b/>
          <w:color w:val="141C2C"/>
          <w:sz w:val="19"/>
        </w:rPr>
        <w:t>Kontakt rekomendowany:</w:t>
      </w:r>
      <w:r>
        <w:rPr>
          <w:rFonts w:ascii="Inter" w:hAnsi="Inter"/>
          <w:color w:val="141C2C"/>
          <w:sz w:val="19"/>
        </w:rPr>
        <w:t xml:space="preserve"> </w:t>
      </w:r>
      <w:r>
        <w:rPr>
          <w:rFonts w:ascii="DejaVu Sans Mono" w:hAnsi="DejaVu Sans Mono"/>
          <w:color w:val="147487"/>
          <w:sz w:val="17"/>
        </w:rPr>
        <w:t>privacy@logimarket.eu</w:t>
      </w:r>
      <w:r>
        <w:rPr>
          <w:rFonts w:ascii="Inter" w:hAnsi="Inter"/>
          <w:color w:val="141C2C"/>
          <w:sz w:val="19"/>
        </w:rPr>
        <w:t xml:space="preserve"> - do uruchomienia i weryfikacji przed publikacją polityki prywatności.</w:t>
      </w:r>
    </w:p>
    <w:p>
      <w:pPr>
        <w:pStyle w:val="Heading2"/>
        <w:keepNext/>
        <w:spacing w:before="140" w:after="60"/>
      </w:pPr>
      <w:r>
        <w:t>2.3 Triggery ponownego screeningu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Ponowny screening jest wymagany co najmniej przy:</w:t>
      </w:r>
    </w:p>
    <w:p>
      <w:pPr>
        <w:spacing w:after="40"/>
        <w:ind w:left="317" w:hanging="317"/>
      </w:pPr>
      <w:r>
        <w:rPr>
          <w:rFonts w:ascii="Inter" w:hAnsi="Inter"/>
          <w:b/>
          <w:color w:val="141C2C"/>
          <w:sz w:val="18"/>
        </w:rPr>
        <w:t xml:space="preserve">1.  </w:t>
      </w:r>
      <w:r>
        <w:rPr>
          <w:rFonts w:ascii="Inter" w:hAnsi="Inter"/>
          <w:color w:val="141C2C"/>
          <w:sz w:val="18"/>
        </w:rPr>
        <w:t>wdrożeniu profilowania behawioralnego lub zautomatyzowanego scoringu;</w:t>
      </w:r>
    </w:p>
    <w:p>
      <w:pPr>
        <w:spacing w:after="40"/>
        <w:ind w:left="317" w:hanging="317"/>
      </w:pPr>
      <w:r>
        <w:rPr>
          <w:rFonts w:ascii="Inter" w:hAnsi="Inter"/>
          <w:b/>
          <w:color w:val="141C2C"/>
          <w:sz w:val="18"/>
        </w:rPr>
        <w:t xml:space="preserve">2.  </w:t>
      </w:r>
      <w:r>
        <w:rPr>
          <w:rFonts w:ascii="Inter" w:hAnsi="Inter"/>
          <w:color w:val="141C2C"/>
          <w:sz w:val="18"/>
        </w:rPr>
        <w:t>istotnym wzroście skali monitorowania użytkowników;</w:t>
      </w:r>
    </w:p>
    <w:p>
      <w:pPr>
        <w:spacing w:after="40"/>
        <w:ind w:left="317" w:hanging="317"/>
      </w:pPr>
      <w:r>
        <w:rPr>
          <w:rFonts w:ascii="Inter" w:hAnsi="Inter"/>
          <w:b/>
          <w:color w:val="141C2C"/>
          <w:sz w:val="18"/>
        </w:rPr>
        <w:t xml:space="preserve">3.  </w:t>
      </w:r>
      <w:r>
        <w:rPr>
          <w:rFonts w:ascii="Inter" w:hAnsi="Inter"/>
          <w:color w:val="141C2C"/>
          <w:sz w:val="18"/>
        </w:rPr>
        <w:t>wejściu w B2C, jeżeli zmienia skalę/profil ryzyka;</w:t>
      </w:r>
    </w:p>
    <w:p>
      <w:pPr>
        <w:spacing w:after="40"/>
        <w:ind w:left="317" w:hanging="317"/>
      </w:pPr>
      <w:r>
        <w:rPr>
          <w:rFonts w:ascii="Inter" w:hAnsi="Inter"/>
          <w:b/>
          <w:color w:val="141C2C"/>
          <w:sz w:val="18"/>
        </w:rPr>
        <w:t xml:space="preserve">4.  </w:t>
      </w:r>
      <w:r>
        <w:rPr>
          <w:rFonts w:ascii="Inter" w:hAnsi="Inter"/>
          <w:color w:val="141C2C"/>
          <w:sz w:val="18"/>
        </w:rPr>
        <w:t>rozpoczęciu przetwarzania danych szczególnych kategorii lub danych z art. 10;</w:t>
      </w:r>
    </w:p>
    <w:p>
      <w:pPr>
        <w:spacing w:after="40"/>
        <w:ind w:left="317" w:hanging="317"/>
      </w:pPr>
      <w:r>
        <w:rPr>
          <w:rFonts w:ascii="Inter" w:hAnsi="Inter"/>
          <w:b/>
          <w:color w:val="141C2C"/>
          <w:sz w:val="18"/>
        </w:rPr>
        <w:t xml:space="preserve">5.  </w:t>
      </w:r>
      <w:r>
        <w:rPr>
          <w:rFonts w:ascii="Inter" w:hAnsi="Inter"/>
          <w:color w:val="141C2C"/>
          <w:sz w:val="18"/>
        </w:rPr>
        <w:t>istotnej zmianie architektury danych lub dostawców.</w:t>
      </w:r>
    </w:p>
    <w:p>
      <w:pPr>
        <w:pStyle w:val="Heading1"/>
        <w:keepNext/>
        <w:spacing w:before="200" w:after="100"/>
      </w:pPr>
      <w:r>
        <w:t>3. ROPA - Rejestr Czynności Przetwarzania ACT-01...ACT-06</w:t>
      </w:r>
    </w:p>
    <w:p>
      <w:pPr>
        <w:pStyle w:val="Heading2"/>
        <w:keepNext/>
        <w:spacing w:before="140" w:after="60"/>
      </w:pPr>
      <w:r>
        <w:t>ACT-01 - Checkout / order submission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2D8"/>
          <w:left w:val="single" w:sz="5" w:space="0" w:color="CBD2D8"/>
          <w:bottom w:val="single" w:sz="5" w:space="0" w:color="CBD2D8"/>
          <w:right w:val="single" w:sz="5" w:space="0" w:color="CBD2D8"/>
          <w:insideH w:val="single" w:sz="5" w:space="0" w:color="CBD2D8"/>
          <w:insideV w:val="single" w:sz="5" w:space="0" w:color="CBD2D8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Pole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Decyzja finalna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Cel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Przyjęcie order intent / obsługa procesu prowadzącego do zawarcia umowy Partner-Kupujący; bezpieczeństwo i dowodowość platformy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Kategorie osób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JDG jako osoba fizyczna; pracownik/reprezentant przedsiębiorcy; osoba kontaktowa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Dane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companyName; contactName; email; phone jeśli wymagany/wybrany; message; order items; wartość/parametry zamówienia; identyfikatory techniczne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Rola LogiMarket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Administrator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Podstawa - JDG będąca stroną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art. 6 ust. 1 lit. b RODO - w zakresie niezbędnym do kroków na żądanie osoby przed zawarciem umowy / obsługi relacji umownej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Podstawa - pracownik/reprezentant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art. 6 ust. 1 lit. f RODO - uzasadniony interes w obsłudze transakcji B2B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Odbiorcy CURRENT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Upoważniony personel LogiMarket; Supabase jako procesor infrastrukturalny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Odbiorcy FUTURE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Partner/Sprzedawca po uruchomieniu routingu PII i po ustaleniu roli per operacja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Informacja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Art. 13 przy kolekcji; wskazanie kategorii/konkretnego Partnera jako odbiorcy zgodnie z finalnym UI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Retencja target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do 3 lat dla PII potrzebnego do roszczeń platformowych, z uwzględnieniem przepisów szczególnych; dane księgowe wyłącznie w zakresie obowiązku prawnego</w:t>
            </w:r>
          </w:p>
        </w:tc>
      </w:tr>
    </w:tbl>
    <w:p>
      <w:pPr>
        <w:spacing w:after="20" w:before="20"/>
      </w:pPr>
    </w:p>
    <w:p>
      <w:pPr>
        <w:pStyle w:val="Heading2"/>
        <w:keepNext/>
        <w:spacing w:before="140" w:after="60"/>
      </w:pPr>
      <w:r>
        <w:t>ACT-02 - RFQ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2D8"/>
          <w:left w:val="single" w:sz="5" w:space="0" w:color="CBD2D8"/>
          <w:bottom w:val="single" w:sz="5" w:space="0" w:color="CBD2D8"/>
          <w:right w:val="single" w:sz="5" w:space="0" w:color="CBD2D8"/>
          <w:insideH w:val="single" w:sz="5" w:space="0" w:color="CBD2D8"/>
          <w:insideV w:val="single" w:sz="5" w:space="0" w:color="CBD2D8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Pole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Decyzja finalna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Cel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Obsługa zapytania ofertowego i negocjacji; routing do Partnera po uruchomieniu funkcji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Kategorie osób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JDG; pracownik/reprezentant firmy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Dane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companyName; contactName; email; phone; message; offerId/partner context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Rola LogiMarket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Administrator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Podstawa - JDG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art. 6 ust. 1 lit. b RODO - kroki przed zawarciem umowy na żądanie osoby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Podstawa - pracownik/reprezentant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art. 6 ust. 1 lit. f RODO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Zgoda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NIE dla core RFQ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P0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rfqLabels.consent zastąpić informacją art. 13; osobny checkbox tylko dla odrębnego celu wymagającego zgody, np. przyszłego marketingu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Retencja target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12 miesięcy od ostatniej uzasadnionej aktywności, chyba że RFQ przechodzi do transakcji/roszczenia wymagającego innej retencji</w:t>
            </w:r>
          </w:p>
        </w:tc>
      </w:tr>
    </w:tbl>
    <w:p>
      <w:pPr>
        <w:spacing w:after="20" w:before="20"/>
      </w:pPr>
    </w:p>
    <w:p>
      <w:pPr>
        <w:pStyle w:val="Heading2"/>
        <w:keepNext/>
        <w:spacing w:before="140" w:after="60"/>
      </w:pPr>
      <w:r>
        <w:t>ACT-03 - Admin authentication &amp; authorization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2D8"/>
          <w:left w:val="single" w:sz="5" w:space="0" w:color="CBD2D8"/>
          <w:bottom w:val="single" w:sz="5" w:space="0" w:color="CBD2D8"/>
          <w:right w:val="single" w:sz="5" w:space="0" w:color="CBD2D8"/>
          <w:insideH w:val="single" w:sz="5" w:space="0" w:color="CBD2D8"/>
          <w:insideV w:val="single" w:sz="5" w:space="0" w:color="CBD2D8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Pole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Decyzja finalna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Cel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Uwierzytelnienie, kontrola dostępu, bezpieczeństwo administracyjne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Dane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email; identyfikator użytkownika; metadane auth; IP/logi; credential przetwarzany przez Supabase Auth zgodnie z usługą vendora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Rola LogiMarket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Administrator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Rola Supabase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Procesor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Podstawa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art. 6 ust. 1 lit. f RODO; w określonych relacjach także właściwa podstawa zatrudnienia/współpracy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Retencja target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konto przez okres uprawnienia + kontrolowany offboarding; logi bezpieczeństwa wg udokumentowanego okresu, target 12 miesięcy podlegający security review</w:t>
            </w:r>
          </w:p>
        </w:tc>
      </w:tr>
    </w:tbl>
    <w:p>
      <w:pPr>
        <w:spacing w:after="20" w:before="20"/>
      </w:pPr>
    </w:p>
    <w:p>
      <w:pPr>
        <w:pStyle w:val="Heading2"/>
        <w:keepNext/>
        <w:spacing w:before="140" w:after="60"/>
      </w:pPr>
      <w:r>
        <w:t>ACT-04 - Outbound clicks / attribution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2D8"/>
          <w:left w:val="single" w:sz="5" w:space="0" w:color="CBD2D8"/>
          <w:bottom w:val="single" w:sz="5" w:space="0" w:color="CBD2D8"/>
          <w:right w:val="single" w:sz="5" w:space="0" w:color="CBD2D8"/>
          <w:insideH w:val="single" w:sz="5" w:space="0" w:color="CBD2D8"/>
          <w:insideV w:val="single" w:sz="5" w:space="0" w:color="CBD2D8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Pole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Decyzja finalna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Cel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Atrybucja prowizji/success fee, bezpieczeństwo i przeciwdziałanie nadużyciom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Dane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session identifier; HMAC-SHA256(IP) lub równoważny pseudonim; offerId; partnerId; timestamp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Klasyfikacja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Dane pseudonimizowane, nie anonimowe, jeśli istnieje realna możliwość powiązania z osobą/session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Rola LogiMarket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Administrator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Procesor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Supabase, jeśli zdarzenia są utrwalane w projekcie DB; brak odrębnego third-party analytics vendora w założonym modelu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Podstawa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art. 6 ust. 1 lit. f RODO + pisemny LIA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Retencja target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12 miesięcy dla raw attribution evidence; następnie anonimizacja/usunięcie identyfikatorów, jeśli brak innej podstawy</w:t>
            </w:r>
          </w:p>
        </w:tc>
      </w:tr>
    </w:tbl>
    <w:p>
      <w:pPr>
        <w:spacing w:after="20" w:before="20"/>
      </w:pPr>
    </w:p>
    <w:p>
      <w:pPr>
        <w:pStyle w:val="Heading2"/>
        <w:keepNext/>
        <w:spacing w:before="140" w:after="60"/>
      </w:pPr>
      <w:r>
        <w:t>ACT-05 - Cart &amp; session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2D8"/>
          <w:left w:val="single" w:sz="5" w:space="0" w:color="CBD2D8"/>
          <w:bottom w:val="single" w:sz="5" w:space="0" w:color="CBD2D8"/>
          <w:right w:val="single" w:sz="5" w:space="0" w:color="CBD2D8"/>
          <w:insideH w:val="single" w:sz="5" w:space="0" w:color="CBD2D8"/>
          <w:insideV w:val="single" w:sz="5" w:space="0" w:color="CBD2D8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Pole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Decyzja finalna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Cel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Funkcjonalność koszyka i ciągłość sesji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Dane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losowy session ID; cart items; niezbędne metadane techniczne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Rola LogiMarket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Administrator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Procesor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Supabase dla rekordów przechowywanych w projekcie DB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RODO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art. 6 ust. 1 lit. b i/lub f - zależnie od konkretnego celu i relacji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Terminal storage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art. 399 PKE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Policy target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preferowane session-only dla ściśle niezbędnego koszyka; persistence między wizytami wymaga osobnej oceny i, gdy wyjątek art. 399 ust. 3 nie działa, zgody</w:t>
            </w:r>
          </w:p>
        </w:tc>
      </w:tr>
    </w:tbl>
    <w:p>
      <w:pPr>
        <w:spacing w:after="20" w:before="20"/>
      </w:pPr>
    </w:p>
    <w:p>
      <w:pPr>
        <w:pStyle w:val="Heading2"/>
        <w:keepNext/>
        <w:spacing w:before="140" w:after="60"/>
      </w:pPr>
      <w:r>
        <w:t>ACT-06 - Partner contacts / KYB contact layer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2D8"/>
          <w:left w:val="single" w:sz="5" w:space="0" w:color="CBD2D8"/>
          <w:bottom w:val="single" w:sz="5" w:space="0" w:color="CBD2D8"/>
          <w:right w:val="single" w:sz="5" w:space="0" w:color="CBD2D8"/>
          <w:insideH w:val="single" w:sz="5" w:space="0" w:color="CBD2D8"/>
          <w:insideV w:val="single" w:sz="5" w:space="0" w:color="CBD2D8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Pole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Decyzja finalna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Cel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Zarządzanie relacją B2B, onboarding/KYB, kontakt operacyjny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Osoby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Reprezentant/pracownik Partnera; JDG jeśli Partnerem jest osoba fizyczna prowadząca działalność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Dane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companyName; contactEmail; websiteUrl; dane kontaktowe i niezbędne dane identyfikacyjne osoby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Rola LogiMarket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Administrator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Podstawa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art. 6 ust. 1 lit. f RODO; art. 6 ust. 1 lit. b tylko gdy dana osoba jest stroną odpowiedniej umowy i przetwarzanie jest niezbędne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Public vs internal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rozdzielić publiczny seller profile od wewnętrznego KYB; nie publikować automatycznie danych rozszerzonego KYB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LIA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wymagany dla przetwarzania opartego o art. 6 ust. 1 lit. f</w:t>
            </w:r>
          </w:p>
        </w:tc>
      </w:tr>
    </w:tbl>
    <w:p>
      <w:pPr>
        <w:spacing w:after="20" w:before="20"/>
      </w:pPr>
    </w:p>
    <w:p>
      <w:pPr>
        <w:pStyle w:val="Heading1"/>
        <w:keepNext/>
        <w:spacing w:before="200" w:after="100"/>
      </w:pPr>
      <w:r>
        <w:t>4. Role RODO przy przyszłym przekazywaniu danych do Partnera</w:t>
      </w:r>
    </w:p>
    <w:p>
      <w:pPr>
        <w:pStyle w:val="Heading2"/>
        <w:keepNext/>
        <w:spacing w:before="140" w:after="60"/>
      </w:pPr>
      <w:r>
        <w:t>4.1 Zasada nadrzędna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 xml:space="preserve">Nie przypisujemy jednej roli RODO całej relacji LogiMarket-Partner. Role określa się </w:t>
      </w:r>
      <w:r>
        <w:rPr>
          <w:rFonts w:ascii="Inter" w:hAnsi="Inter"/>
          <w:b/>
          <w:color w:val="141C2C"/>
          <w:sz w:val="19"/>
        </w:rPr>
        <w:t>per processing operation</w:t>
      </w:r>
      <w:r>
        <w:rPr>
          <w:rFonts w:ascii="Inter" w:hAnsi="Inter"/>
          <w:color w:val="141C2C"/>
          <w:sz w:val="19"/>
        </w:rPr>
        <w:t xml:space="preserve"> na podstawie rzeczywistych celów i zasadniczych środków, zgodnie z EDPB Guidelines 07/2020.</w:t>
      </w:r>
    </w:p>
    <w:p>
      <w:pPr>
        <w:pStyle w:val="Heading2"/>
        <w:keepNext/>
        <w:spacing w:before="140" w:after="60"/>
      </w:pPr>
      <w:r>
        <w:t>4.2 Drzewo decyzyjne</w:t>
      </w:r>
    </w:p>
    <w:p>
      <w:pPr>
        <w:spacing w:after="40"/>
        <w:ind w:left="317" w:hanging="317"/>
      </w:pPr>
      <w:r>
        <w:rPr>
          <w:rFonts w:ascii="Inter" w:hAnsi="Inter"/>
          <w:b/>
          <w:color w:val="141C2C"/>
          <w:sz w:val="18"/>
        </w:rPr>
        <w:t xml:space="preserve">1.  </w:t>
      </w:r>
      <w:r>
        <w:rPr>
          <w:rFonts w:ascii="Inter" w:hAnsi="Inter"/>
          <w:color w:val="141C2C"/>
          <w:sz w:val="18"/>
        </w:rPr>
        <w:t xml:space="preserve">Jeżeli Partner działa wyłącznie na udokumentowane polecenie LogiMarket i nie realizuje własnego celu - relacja może być art. 28 RODO. </w:t>
      </w:r>
      <w:r>
        <w:rPr>
          <w:rFonts w:ascii="Inter" w:hAnsi="Inter"/>
          <w:b/>
          <w:color w:val="141C2C"/>
          <w:sz w:val="18"/>
        </w:rPr>
        <w:t>Nie jest to zakładany model Seller of Record.</w:t>
      </w:r>
    </w:p>
    <w:p>
      <w:pPr>
        <w:spacing w:after="40"/>
        <w:ind w:left="317" w:hanging="317"/>
      </w:pPr>
      <w:r>
        <w:rPr>
          <w:rFonts w:ascii="Inter" w:hAnsi="Inter"/>
          <w:b/>
          <w:color w:val="141C2C"/>
          <w:sz w:val="18"/>
        </w:rPr>
        <w:t xml:space="preserve">2.  </w:t>
      </w:r>
      <w:r>
        <w:rPr>
          <w:rFonts w:ascii="Inter" w:hAnsi="Inter"/>
          <w:color w:val="141C2C"/>
          <w:sz w:val="18"/>
        </w:rPr>
        <w:t>Jeżeli obie strony wspólnie determinują cel i zasadnicze środki określonej fazy zbierania/routingu - dla tej fazy może powstać współadministrowanie art. 26.</w:t>
      </w:r>
    </w:p>
    <w:p>
      <w:pPr>
        <w:spacing w:after="40"/>
        <w:ind w:left="317" w:hanging="317"/>
      </w:pPr>
      <w:r>
        <w:rPr>
          <w:rFonts w:ascii="Inter" w:hAnsi="Inter"/>
          <w:b/>
          <w:color w:val="141C2C"/>
          <w:sz w:val="18"/>
        </w:rPr>
        <w:t xml:space="preserve">3.  </w:t>
      </w:r>
      <w:r>
        <w:rPr>
          <w:rFonts w:ascii="Inter" w:hAnsi="Inter"/>
          <w:color w:val="141C2C"/>
          <w:sz w:val="18"/>
        </w:rPr>
        <w:t>Jeżeli LogiMarket samodzielnie prowadzi kolekcję, a Partner po otrzymaniu danych realizuje własny cel sprzedażowy - możliwy jest model dwóch niezależnych administratorów z klauzulami C2C.</w:t>
      </w:r>
    </w:p>
    <w:p>
      <w:pPr>
        <w:pStyle w:val="Heading2"/>
        <w:keepNext/>
        <w:spacing w:before="140" w:after="60"/>
      </w:pPr>
      <w:r>
        <w:t>4.3 Warunek przed pierwszym produkcyjnym transferem PII do Partnera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AB7BF"/>
          <w:left w:val="single" w:sz="5" w:space="0" w:color="AAB7BF"/>
          <w:bottom w:val="single" w:sz="5" w:space="0" w:color="AAB7BF"/>
          <w:right w:val="single" w:sz="5" w:space="0" w:color="AAB7BF"/>
          <w:insideH w:val="single" w:sz="5" w:space="0" w:color="AAB7BF"/>
          <w:insideV w:val="single" w:sz="5" w:space="0" w:color="AAB7BF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/>
                <w:color w:val="141C2C"/>
                <w:sz w:val="17"/>
              </w:rPr>
              <w:t>PARTNER_DATA_FLOW_DESIGN=REQUIRED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ROLE_ASSESSMENT_PER_OPERATION=REQUIRED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ART26_OR_C2C_DOCUMENT=REQUIRED_AS_APPLICABLE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ART13_NOTICE_UPDATED=REQUIRED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PARTNER_ART14_ASSESSMENT=REQUIRED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DPO_REVIEW_BEFORE_FIRST_TRANSFER=REQUIRED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t>4.4 Art. 14 - ważna normalizacja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 xml:space="preserve">Partner, który otrzymuje dane nie bezpośrednio od osoby, samodzielnie ocenia obowiązek z art. 14 RODO. Wyjątek art. 14 ust. 5 lit. a może być stosowany </w:t>
      </w:r>
      <w:r>
        <w:rPr>
          <w:rFonts w:ascii="Inter" w:hAnsi="Inter"/>
          <w:b/>
          <w:color w:val="141C2C"/>
          <w:sz w:val="19"/>
        </w:rPr>
        <w:t>wyłącznie w takim zakresie, w jakim osoba już posiada wszystkie wymagane informacje</w:t>
      </w:r>
      <w:r>
        <w:rPr>
          <w:rFonts w:ascii="Inter" w:hAnsi="Inter"/>
          <w:color w:val="141C2C"/>
          <w:sz w:val="19"/>
        </w:rPr>
        <w:t>. Samo przekazanie Partnerowi noty przez LogiMarket nie tworzy automatycznego zwolnienia.</w:t>
      </w:r>
    </w:p>
    <w:p>
      <w:pPr>
        <w:pStyle w:val="Heading1"/>
        <w:keepNext/>
        <w:spacing w:before="200" w:after="100"/>
      </w:pPr>
      <w:r>
        <w:t>5. Obowiązek informacyjny art. 13 - model finalny</w:t>
      </w:r>
    </w:p>
    <w:p>
      <w:pPr>
        <w:pStyle w:val="Heading2"/>
        <w:keepNext/>
        <w:spacing w:before="140" w:after="60"/>
      </w:pPr>
      <w:r>
        <w:t>5.1 Warstwa 1 - UI formularza</w:t>
      </w:r>
    </w:p>
    <w:p>
      <w:pPr>
        <w:spacing w:after="100" w:line="254" w:lineRule="auto"/>
      </w:pPr>
      <w:r>
        <w:rPr>
          <w:rFonts w:ascii="Inter" w:hAnsi="Inter"/>
          <w:b/>
          <w:color w:val="141C2C"/>
          <w:sz w:val="19"/>
        </w:rPr>
        <w:t>Checkout - wzorzec: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9" w:space="0" w:color="147487"/>
          <w:left w:val="single" w:sz="9" w:space="0" w:color="147487"/>
          <w:bottom w:val="single" w:sz="9" w:space="0" w:color="147487"/>
          <w:right w:val="single" w:sz="9" w:space="0" w:color="147487"/>
          <w:insideH w:val="single" w:sz="9" w:space="0" w:color="147487"/>
          <w:insideV w:val="single" w:sz="9" w:space="0" w:color="147487"/>
        </w:tblBorders>
      </w:tblPr>
      <w:tblGrid>
        <w:gridCol w:w="10224"/>
      </w:tblGrid>
      <w:tr>
        <w:tc>
          <w:tcPr>
            <w:tcW w:type="dxa" w:w="10224"/>
            <w:shd w:fill="E8F1F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/>
            <w:r>
              <w:rPr>
                <w:rFonts w:ascii="Inter" w:hAnsi="Inter"/>
                <w:color w:val="141C2C"/>
                <w:sz w:val="18"/>
              </w:rPr>
              <w:t>Administratorem danych osobowych zbieranych przez platformę jest podmiot prowadzący LogiMarket wskazany w Polityce Prywatności. Dane wykorzystujemy do obsługi procesu zamówienia, bezpieczeństwa platformy i - gdy funkcja jest aktywna - przekazania danych właściwemu Sprzedawcy w celu obsługi transakcji. Szczegóły, podstawy prawne, odbiorcy, transfery i prawa użytkownika opisuje Polityka Prywatności.</w:t>
            </w:r>
          </w:p>
        </w:tc>
      </w:tr>
    </w:tbl>
    <w:p>
      <w:pPr>
        <w:spacing w:after="20"/>
      </w:pPr>
    </w:p>
    <w:p>
      <w:pPr>
        <w:spacing w:after="100" w:line="254" w:lineRule="auto"/>
      </w:pPr>
      <w:r>
        <w:rPr>
          <w:rFonts w:ascii="Inter" w:hAnsi="Inter"/>
          <w:b/>
          <w:color w:val="141C2C"/>
          <w:sz w:val="19"/>
        </w:rPr>
        <w:t>RFQ - wzorzec zastępujący consent: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9" w:space="0" w:color="147487"/>
          <w:left w:val="single" w:sz="9" w:space="0" w:color="147487"/>
          <w:bottom w:val="single" w:sz="9" w:space="0" w:color="147487"/>
          <w:right w:val="single" w:sz="9" w:space="0" w:color="147487"/>
          <w:insideH w:val="single" w:sz="9" w:space="0" w:color="147487"/>
          <w:insideV w:val="single" w:sz="9" w:space="0" w:color="147487"/>
        </w:tblBorders>
      </w:tblPr>
      <w:tblGrid>
        <w:gridCol w:w="10224"/>
      </w:tblGrid>
      <w:tr>
        <w:tc>
          <w:tcPr>
            <w:tcW w:type="dxa" w:w="10224"/>
            <w:shd w:fill="E8F1F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/>
            <w:r>
              <w:rPr>
                <w:rFonts w:ascii="Inter" w:hAnsi="Inter"/>
                <w:color w:val="141C2C"/>
                <w:sz w:val="18"/>
              </w:rPr>
              <w:t>Dane z formularza RFQ wykorzystujemy do obsługi zapytania i - gdy routing do Partnera jest aktywny - przekazania danych wybranemu Partnerowi w celu przygotowania odpowiedzi handlowej. Szczegóły znajdują się w Polityce Prywatności.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t>5.2 Warstwa 2 - Polityka Prywatności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Finalna polityka przed publikacją musi zawierać co najmniej: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dokładną nazwę prawną administratora, adres i dane kontaktowe;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kontakt privacy; kontakt IOD wyłącznie jeśli formalny IOD zostanie wyznaczony;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cele i podstawy osobno dla JDG będącej stroną oraz pracowników/reprezentantów;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uzasadnione interesy dla art. 6 ust. 1 lit. f;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odbiorców/kategorie odbiorców, w tym Partnera i dostawców infrastruktury;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prawdziwy opis transferów poza EOG;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okresy lub kryteria retencji;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prawa osób, w tym sprzeciw dla art. 6 ust. 1 lit. f;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prawo wniesienia skargi do Prezesa UODO;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informację o obowiązkowości/nieobowiązkowości pól;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informacje o zautomatyzowanym podejmowaniu decyzji, jeżeli takie funkcje powstaną.</w:t>
      </w:r>
    </w:p>
    <w:p>
      <w:pPr>
        <w:spacing w:after="100" w:line="254" w:lineRule="auto"/>
      </w:pPr>
      <w:r>
        <w:rPr>
          <w:rFonts w:ascii="Inter" w:hAnsi="Inter"/>
          <w:b/>
          <w:color w:val="141C2C"/>
          <w:sz w:val="19"/>
        </w:rPr>
        <w:t>OWNER_FACT_REQUIRED przed publikacją:</w:t>
      </w:r>
      <w:r>
        <w:rPr>
          <w:rFonts w:ascii="Inter" w:hAnsi="Inter"/>
          <w:color w:val="141C2C"/>
          <w:sz w:val="19"/>
        </w:rPr>
        <w:t xml:space="preserve"> dokładna firma administratora, adres, NIP/KRS jeśli używane w notice, aktywny adres </w:t>
      </w:r>
      <w:r>
        <w:rPr>
          <w:rFonts w:ascii="DejaVu Sans Mono" w:hAnsi="DejaVu Sans Mono"/>
          <w:color w:val="147487"/>
          <w:sz w:val="17"/>
        </w:rPr>
        <w:t>privacy@logimarket.eu</w:t>
      </w:r>
      <w:r>
        <w:rPr>
          <w:rFonts w:ascii="Inter" w:hAnsi="Inter"/>
          <w:color w:val="141C2C"/>
          <w:sz w:val="19"/>
        </w:rPr>
        <w:t xml:space="preserve"> (lub inny zatwierdzony privacy contact).</w:t>
      </w:r>
    </w:p>
    <w:p>
      <w:pPr>
        <w:pStyle w:val="Heading1"/>
        <w:keepNext/>
        <w:spacing w:before="200" w:after="100"/>
      </w:pPr>
      <w:r>
        <w:t>6. Cookie / terminal storage - art. 399 PKE</w:t>
      </w:r>
    </w:p>
    <w:p>
      <w:pPr>
        <w:pStyle w:val="Heading2"/>
        <w:keepNext/>
        <w:spacing w:before="140" w:after="60"/>
      </w:pPr>
      <w:r>
        <w:t>6.1 Stan prawny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Art. 399 PKE wymaga uprzedniej informacji i zgody dla przechowywania informacji lub uzyskiwania dostępu do informacji w urządzeniu końcowym, z wyjątkiem sytuacji z ust. 3, w szczególności gdy jest to konieczne do dostarczenia usługi świadczonej drogą elektroniczną żądanej przez użytkownika.</w:t>
      </w:r>
    </w:p>
    <w:p>
      <w:pPr>
        <w:pStyle w:val="Heading2"/>
        <w:keepNext/>
        <w:spacing w:before="140" w:after="60"/>
      </w:pPr>
      <w:r>
        <w:t>6.2 Decyzja privacy dla koszyka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2D8"/>
          <w:left w:val="single" w:sz="5" w:space="0" w:color="CBD2D8"/>
          <w:bottom w:val="single" w:sz="5" w:space="0" w:color="CBD2D8"/>
          <w:right w:val="single" w:sz="5" w:space="0" w:color="CBD2D8"/>
          <w:insideH w:val="single" w:sz="5" w:space="0" w:color="CBD2D8"/>
          <w:insideV w:val="single" w:sz="5" w:space="0" w:color="CBD2D8"/>
        </w:tblBorders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Wariant</w:t>
            </w:r>
          </w:p>
        </w:tc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Ocena</w:t>
            </w:r>
          </w:p>
        </w:tc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Session-only cookie niezbędne do bieżącego koszyka</w:t>
            </w:r>
          </w:p>
        </w:tc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Może korzystać z wyjątku art. 399 ust. 3 pkt 2, pod warunkiem realnej konieczności i braku dodatkowego celu</w:t>
            </w:r>
          </w:p>
        </w:tc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RECOMMENDED_FOR_MVP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Trwałe pamiętanie koszyka między wizytami</w:t>
            </w:r>
          </w:p>
        </w:tc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Nie uznawać automatycznie za ściśle niezbędne; wykonać odrębną ocenę. Jeśli wyjątek nie działa - aktywna zgoda przed zapisaniem/odczytem</w:t>
            </w:r>
          </w:p>
        </w:tc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OWNER_PRODUCT_DECISION_REQUIRED</w:t>
            </w:r>
          </w:p>
        </w:tc>
      </w:tr>
    </w:tbl>
    <w:p>
      <w:pPr>
        <w:spacing w:after="20" w:before="20"/>
      </w:pP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 xml:space="preserve">Nie istnieje bezpieczna reguła typu </w:t>
      </w:r>
      <w:r>
        <w:rPr>
          <w:rFonts w:ascii="DejaVu Sans Mono" w:hAnsi="DejaVu Sans Mono"/>
          <w:color w:val="147487"/>
          <w:sz w:val="17"/>
        </w:rPr>
        <w:t>24h = zawsze bez zgody</w:t>
      </w:r>
      <w:r>
        <w:rPr>
          <w:rFonts w:ascii="Inter" w:hAnsi="Inter"/>
          <w:color w:val="141C2C"/>
          <w:sz w:val="19"/>
        </w:rPr>
        <w:t>. Decyduje funkcjonalna konieczność względem usługi żądanej przez użytkownika.</w:t>
      </w:r>
    </w:p>
    <w:p>
      <w:pPr>
        <w:pStyle w:val="Heading2"/>
        <w:keepNext/>
        <w:spacing w:before="140" w:after="60"/>
      </w:pPr>
      <w:r>
        <w:t>6.3 Security P0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Produkcyjne cookie sesyjne powinno mieć co najmniej: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AB7BF"/>
          <w:left w:val="single" w:sz="5" w:space="0" w:color="AAB7BF"/>
          <w:bottom w:val="single" w:sz="5" w:space="0" w:color="AAB7BF"/>
          <w:right w:val="single" w:sz="5" w:space="0" w:color="AAB7BF"/>
          <w:insideH w:val="single" w:sz="5" w:space="0" w:color="AAB7BF"/>
          <w:insideV w:val="single" w:sz="5" w:space="0" w:color="AAB7BF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/>
                <w:color w:val="141C2C"/>
                <w:sz w:val="17"/>
              </w:rPr>
              <w:t>Secure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HttpOnly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SameSite=Lax   # o ile model integracji nie wymaga innego ustawienia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Path=/         # jeśli właściwe dla zastosowania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HTTPS only</w:t>
            </w:r>
          </w:p>
        </w:tc>
      </w:tr>
    </w:tbl>
    <w:p>
      <w:pPr>
        <w:spacing w:after="20"/>
      </w:pP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 xml:space="preserve">Prefiks </w:t>
      </w:r>
      <w:r>
        <w:rPr>
          <w:rFonts w:ascii="DejaVu Sans Mono" w:hAnsi="DejaVu Sans Mono"/>
          <w:color w:val="147487"/>
          <w:sz w:val="17"/>
        </w:rPr>
        <w:t>__Host-</w:t>
      </w:r>
      <w:r>
        <w:rPr>
          <w:rFonts w:ascii="Inter" w:hAnsi="Inter"/>
          <w:color w:val="141C2C"/>
          <w:sz w:val="19"/>
        </w:rPr>
        <w:t xml:space="preserve"> można rozważyć, jeżeli spełnione są jego techniczne wymagania i nie powoduje to regresji obecnego mechanizmu sesji. </w:t>
      </w:r>
      <w:r>
        <w:rPr>
          <w:rFonts w:ascii="DejaVu Sans Mono" w:hAnsi="DejaVu Sans Mono"/>
          <w:color w:val="147487"/>
          <w:sz w:val="17"/>
        </w:rPr>
        <w:t>Secure</w:t>
      </w:r>
      <w:r>
        <w:rPr>
          <w:rFonts w:ascii="Inter" w:hAnsi="Inter"/>
          <w:color w:val="141C2C"/>
          <w:sz w:val="19"/>
        </w:rPr>
        <w:t xml:space="preserve"> i HTTPS/HSTS wymagają bezpośredniej weryfikacji Engineering/Browser QA przed PASS.</w:t>
      </w:r>
    </w:p>
    <w:p>
      <w:pPr>
        <w:pStyle w:val="Heading1"/>
        <w:keepNext/>
        <w:spacing w:before="200" w:after="100"/>
      </w:pPr>
      <w:r>
        <w:t>7. Retencja - finalny policy target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9" w:space="0" w:color="147487"/>
          <w:left w:val="single" w:sz="9" w:space="0" w:color="147487"/>
          <w:bottom w:val="single" w:sz="9" w:space="0" w:color="147487"/>
          <w:right w:val="single" w:sz="9" w:space="0" w:color="147487"/>
          <w:insideH w:val="single" w:sz="9" w:space="0" w:color="147487"/>
          <w:insideV w:val="single" w:sz="9" w:space="0" w:color="147487"/>
        </w:tblBorders>
      </w:tblPr>
      <w:tblGrid>
        <w:gridCol w:w="10224"/>
      </w:tblGrid>
      <w:tr>
        <w:tc>
          <w:tcPr>
            <w:tcW w:type="dxa" w:w="10224"/>
            <w:shd w:fill="E8F1F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/>
            <w:r>
              <w:rPr>
                <w:rFonts w:ascii="Inter" w:hAnsi="Inter"/>
                <w:color w:val="141C2C"/>
                <w:sz w:val="18"/>
              </w:rPr>
              <w:t>Okresy poniżej są zatwierdzonymi targetami privacy, a nie automatycznym upoważnieniem do zmian schematu/SQL. Mechanizm egzekwowania zostanie zaprojektowany w odpowiednim scope (najpóźniej 56B6) z uwzględnieniem faktycznego modelu danych, backupów i wymogów podatkowych.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2D8"/>
          <w:left w:val="single" w:sz="5" w:space="0" w:color="CBD2D8"/>
          <w:bottom w:val="single" w:sz="5" w:space="0" w:color="CBD2D8"/>
          <w:right w:val="single" w:sz="5" w:space="0" w:color="CBD2D8"/>
          <w:insideH w:val="single" w:sz="5" w:space="0" w:color="CBD2D8"/>
          <w:insideV w:val="single" w:sz="5" w:space="0" w:color="CBD2D8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7"/>
              </w:rPr>
              <w:t>Dataset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7"/>
              </w:rPr>
              <w:t>Akcja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7"/>
              </w:rPr>
              <w:t>Uwagi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cart_items porzucone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session-only albo okres zgodny z zatwierdzonym persistence mode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koniec sesji / ostatnia aktywność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delete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Nie utrzymywać 30 dni, jeśli finalny model produktu przejdzie na session-only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rfq_leads nieaktywne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12 miesięcy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ostatnia uzasadniona aktywność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delete/anonymize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wyjątek dla sporu/roszczenia lub konwersji do transakcji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orders - PII platformowe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target do 3 lat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finalny status / ostatnie zdarzenie roszczeniowe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anonimizacja/minimalizacja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3 lata to target dla własnych roszczeń platformowych, nie uniwersalny termin dla wszystkich roszczeń B2B; stosować przepisy szczególne, gdy mają zastosowanie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dane księgowe/podatkowe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zgodnie z aktualnym obowiązkiem prawnym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właściwy trigger ustawowy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archiwizacja ograniczonego datasetu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nie przechowywać całego PII tylko dlatego, że część danych ma wymóg księgowy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clicks raw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12 miesięcy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timestamp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anonimizacja/delete identyfikatorów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uzasadnić w LIA i success-fee evidence policy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admin auth/logs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konto do offboardingu; logi target 12 miesięcy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utrata roli / timestamp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revoke/delete wg security policy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okres logów podlega security review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partner contacts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współpraca + target do 3 lat dla roszczeń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zakończenie relacji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minimalizacja/delete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7"/>
              </w:rPr>
              <w:t>osobno dane księgowe i osobno marketing</w:t>
            </w:r>
          </w:p>
        </w:tc>
      </w:tr>
    </w:tbl>
    <w:p>
      <w:pPr>
        <w:spacing w:after="20" w:before="20"/>
      </w:pPr>
    </w:p>
    <w:p>
      <w:pPr>
        <w:pStyle w:val="Heading2"/>
        <w:keepNext/>
        <w:spacing w:before="140" w:after="60"/>
      </w:pPr>
      <w:r>
        <w:t>7.1 Wymagania techniczne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retention enforcement ma być automatyczny i audytowalny;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brak bezterminowego soft-delete jako substytutu usunięcia;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backup retention musi być udokumentowany osobno;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operacje retencji muszą mieć audit evidence;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metoda techniczna jest wybierana przez Engineering w repozytorium - dokument nie autoryzuje Supabase Edge Functions ani innych nowych backendów.</w:t>
      </w:r>
    </w:p>
    <w:p>
      <w:pPr>
        <w:pStyle w:val="Heading1"/>
        <w:keepNext/>
        <w:spacing w:before="200" w:after="100"/>
      </w:pPr>
      <w:r>
        <w:t>8. Supabase - vendor due diligence i transfery</w:t>
      </w:r>
    </w:p>
    <w:p>
      <w:pPr>
        <w:pStyle w:val="Heading2"/>
        <w:keepNext/>
        <w:spacing w:before="140" w:after="60"/>
      </w:pPr>
      <w:r>
        <w:t>8.1 Region projektu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Evidence z dashboardu Supabase potwierdza: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742849"/>
            <wp:docPr id="1" name="Picture 1" descr="Supabase Project Settings showing project region eu-west-1, West EU (Ireland)" title="Supabase region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abase_region_ev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42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Inter" w:hAnsi="Inter"/>
          <w:i/>
          <w:color w:val="677180"/>
          <w:sz w:val="16"/>
        </w:rPr>
        <w:t>Evidence E1 - Supabase Project Settings: eu-west-1, West EU (Ireland), 9.08.2026.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AB7BF"/>
          <w:left w:val="single" w:sz="5" w:space="0" w:color="AAB7BF"/>
          <w:bottom w:val="single" w:sz="5" w:space="0" w:color="AAB7BF"/>
          <w:right w:val="single" w:sz="5" w:space="0" w:color="AAB7BF"/>
          <w:insideH w:val="single" w:sz="5" w:space="0" w:color="AAB7BF"/>
          <w:insideV w:val="single" w:sz="5" w:space="0" w:color="AAB7BF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/>
                <w:color w:val="141C2C"/>
                <w:sz w:val="17"/>
              </w:rPr>
              <w:t>PROJECT_REGION=eu-west-1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DISPLAY_REGION=West EU (Ireland)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PRIMARY_DATABASE_REGION_EEA=PASS</w:t>
            </w:r>
          </w:p>
        </w:tc>
      </w:tr>
    </w:tbl>
    <w:p>
      <w:pPr>
        <w:spacing w:after="20"/>
      </w:pP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Jest to primary storage region projektu, a nie dowód, że wszystkie operacje wszystkich subprocesorów są wykonywane wyłącznie w EOG.</w:t>
      </w:r>
    </w:p>
    <w:p>
      <w:pPr>
        <w:pStyle w:val="Heading2"/>
        <w:keepNext/>
        <w:spacing w:before="140" w:after="60"/>
      </w:pPr>
      <w:r>
        <w:t>8.2 DPA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Aktualny oficjalny Supabase Data Processing Addendum: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AB7BF"/>
          <w:left w:val="single" w:sz="5" w:space="0" w:color="AAB7BF"/>
          <w:bottom w:val="single" w:sz="5" w:space="0" w:color="AAB7BF"/>
          <w:right w:val="single" w:sz="5" w:space="0" w:color="AAB7BF"/>
          <w:insideH w:val="single" w:sz="5" w:space="0" w:color="AAB7BF"/>
          <w:insideV w:val="single" w:sz="5" w:space="0" w:color="AAB7BF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/>
                <w:color w:val="141C2C"/>
                <w:sz w:val="17"/>
              </w:rPr>
              <w:t>DPA_VERSION=Version 1 - August 1, 2026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DPA_FORMS_PART_OF_SUPABASE_AGREEMENT=YES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SEPARATE_DPA_SIGNATURE_REQUIRED=NO_AS_DEFAULT_CONTRACT_MECHANISM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SUPABASE_ROLE=PROCESSOR/SERVICE_PROVIDER_FOR_CUSTOMER_COVERED_DATA</w:t>
            </w:r>
          </w:p>
        </w:tc>
      </w:tr>
    </w:tbl>
    <w:p>
      <w:pPr>
        <w:spacing w:after="20"/>
      </w:pP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DPA stanowi część Agreement i jest skuteczny od Effective Date Agreement. Dla transferów objętych GDPR DPA inkorporuje SCC 2021/914; przy modelu Customer controller -&gt; Supabase processor stosuje Module Two. Akceptacja Agreement ma skutek podpisania SCC.</w:t>
      </w:r>
    </w:p>
    <w:p>
      <w:pPr>
        <w:spacing w:after="100" w:line="254" w:lineRule="auto"/>
      </w:pPr>
      <w:r>
        <w:rPr>
          <w:rFonts w:ascii="Inter" w:hAnsi="Inter"/>
          <w:b/>
          <w:color w:val="141C2C"/>
          <w:sz w:val="19"/>
        </w:rPr>
        <w:t>Operational evidence condition:</w:t>
      </w:r>
      <w:r>
        <w:rPr>
          <w:rFonts w:ascii="Inter" w:hAnsi="Inter"/>
          <w:color w:val="141C2C"/>
          <w:sz w:val="19"/>
        </w:rPr>
        <w:t xml:space="preserve"> zachować snapshot aktualnego DPA oraz dowód relacji kontraktowej/konta, na podstawie którego Agreement obowiązuje LogiMarket.</w:t>
      </w:r>
    </w:p>
    <w:p>
      <w:pPr>
        <w:pStyle w:val="Heading2"/>
        <w:keepNext/>
        <w:spacing w:before="140" w:after="60"/>
      </w:pPr>
      <w:r>
        <w:t>8.3 Subprocesorzy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 xml:space="preserve">Oficjalna strona Supabase wskazuje listę z aktualizacją </w:t>
      </w:r>
      <w:r>
        <w:rPr>
          <w:rFonts w:ascii="Inter" w:hAnsi="Inter"/>
          <w:b/>
          <w:color w:val="141C2C"/>
          <w:sz w:val="19"/>
        </w:rPr>
        <w:t>1 czerwca 2026 r.</w:t>
      </w:r>
      <w:r>
        <w:rPr>
          <w:rFonts w:ascii="Inter" w:hAnsi="Inter"/>
          <w:color w:val="141C2C"/>
          <w:sz w:val="19"/>
        </w:rPr>
        <w:t xml:space="preserve"> i mechanizm subskrypcji zmian. Wewnętrzny LogiMarket Vendor Register musi utrzymywać: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vendor/service;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rolę privacy;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zakres danych;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lokalizacje/transfer mechanism;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wersję DPA/subprocessor list;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datę review;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ownera i termin kolejnego review.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AB7BF"/>
          <w:left w:val="single" w:sz="5" w:space="0" w:color="AAB7BF"/>
          <w:bottom w:val="single" w:sz="5" w:space="0" w:color="AAB7BF"/>
          <w:right w:val="single" w:sz="5" w:space="0" w:color="AAB7BF"/>
          <w:insideH w:val="single" w:sz="5" w:space="0" w:color="AAB7BF"/>
          <w:insideV w:val="single" w:sz="5" w:space="0" w:color="AAB7BF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/>
                <w:color w:val="141C2C"/>
                <w:sz w:val="17"/>
              </w:rPr>
              <w:t>SUPABASE_SUBPROCESSOR_SOURCE=VERIFIED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INTERNAL_VENDOR_REGISTER=OPEN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CHANGE_NOTIFICATION_SUBSCRIPTION=RECOMMENDED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t>8.4 Transfery poza EOG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 xml:space="preserve">Nie wolno używać w polityce zdania </w:t>
      </w:r>
      <w:r>
        <w:rPr>
          <w:rFonts w:ascii="DejaVu Sans Mono" w:hAnsi="DejaVu Sans Mono"/>
          <w:color w:val="147487"/>
          <w:sz w:val="17"/>
        </w:rPr>
        <w:t>Brak transferu poza EEA</w:t>
      </w:r>
      <w:r>
        <w:rPr>
          <w:rFonts w:ascii="Inter" w:hAnsi="Inter"/>
          <w:color w:val="141C2C"/>
          <w:sz w:val="19"/>
        </w:rPr>
        <w:t>.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Aktualny DPA zezwala Supabase na przetwarzanie w lokalizacjach, w których Supabase lub subprocesorzy utrzymują infrastrukturę, przy zachowaniu mechanizmów transferowych. Dane skierowane do konkretnego regionu mają być tam przechowywane i głównie przetwarzane, ale DPA nie gwarantuje globalnego EEA-only processing.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Finalny status: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AB7BF"/>
          <w:left w:val="single" w:sz="5" w:space="0" w:color="AAB7BF"/>
          <w:bottom w:val="single" w:sz="5" w:space="0" w:color="AAB7BF"/>
          <w:right w:val="single" w:sz="5" w:space="0" w:color="AAB7BF"/>
          <w:insideH w:val="single" w:sz="5" w:space="0" w:color="AAB7BF"/>
          <w:insideV w:val="single" w:sz="5" w:space="0" w:color="AAB7BF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/>
                <w:color w:val="141C2C"/>
                <w:sz w:val="17"/>
              </w:rPr>
              <w:t>PRIMARY_DB_STORAGE=EEA_IRELAND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THIRD_COUNTRY_TRANSFERS=YES/POSSIBLE_UNDER_VENDOR_CHAIN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SCC_2021_914=INCORPORATED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TRANSFER_DISCLOSURE_IN_PRIVACY_NOTICE=REQUIRED</w:t>
            </w:r>
          </w:p>
        </w:tc>
      </w:tr>
    </w:tbl>
    <w:p>
      <w:pPr>
        <w:spacing w:after="20"/>
      </w:pP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Publiczna polityka powinna wskazywać, że dane mogą być przetwarzane poza EOG i że stosowane są mechanizmy z rozdziału V RODO, np. decyzja adequacy, SCC lub inna właściwa podstawa - zgodnie z faktycznym vendor register.</w:t>
      </w:r>
    </w:p>
    <w:p>
      <w:pPr>
        <w:pStyle w:val="Heading2"/>
        <w:keepNext/>
        <w:spacing w:before="140" w:after="60"/>
      </w:pPr>
      <w:r>
        <w:t>8.5 TIA - status evidence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 xml:space="preserve">Załączony Supabase TIA jest datowany na </w:t>
      </w:r>
      <w:r>
        <w:rPr>
          <w:rFonts w:ascii="Inter" w:hAnsi="Inter"/>
          <w:b/>
          <w:color w:val="141C2C"/>
          <w:sz w:val="19"/>
        </w:rPr>
        <w:t>14 marca 2025 r.</w:t>
      </w:r>
      <w:r>
        <w:rPr>
          <w:rFonts w:ascii="Inter" w:hAnsi="Inter"/>
          <w:color w:val="141C2C"/>
          <w:sz w:val="19"/>
        </w:rPr>
        <w:t xml:space="preserve"> i opisuje m.in. USA, Singapur, FISA 702/EO 12333, SCC Module Two i środki techniczne. Dokument jest użytecznym evidence historycznym, ale nie jest wystarczający jako jedyny aktualny TIA na 2026 r., ponieważ: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jest starszy od aktualnego DPA z 1 sierpnia 2026 r.;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jest starszy od aktualnej listy subprocesorów z 1 czerwca 2026 r.;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w nagłówku identyfikuje data importera jako Supabase Inc w Delaware, podczas gdy aktualny DPA w Schedule 2 wskazuje Supabase Pte. Ltd w Singapurze jako data importera dla SCC.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Dlatego: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AB7BF"/>
          <w:left w:val="single" w:sz="5" w:space="0" w:color="AAB7BF"/>
          <w:bottom w:val="single" w:sz="5" w:space="0" w:color="AAB7BF"/>
          <w:right w:val="single" w:sz="5" w:space="0" w:color="AAB7BF"/>
          <w:insideH w:val="single" w:sz="5" w:space="0" w:color="AAB7BF"/>
          <w:insideV w:val="single" w:sz="5" w:space="0" w:color="AAB7BF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/>
                <w:color w:val="141C2C"/>
                <w:sz w:val="17"/>
              </w:rPr>
              <w:t>SUPABASE_VENDOR_TIA=AVAILABLE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TIA_DATE=2025-03-14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TIA_CURRENT_ALIGNMENT=REFRESH_REQUIRED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TIA_REFRESH_BLOCKS_56B1=NO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TIA_REFRESH_REQUIRED_BEFORE_GO_LIVE_OR_PERIODIC_VENDOR_REVIEW=YES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9. DPIA Screening - art. 35 RODO</w:t>
      </w:r>
    </w:p>
    <w:p>
      <w:pPr>
        <w:pStyle w:val="Heading2"/>
        <w:keepNext/>
        <w:spacing w:before="140" w:after="60"/>
      </w:pPr>
      <w:r>
        <w:t>9.1 Werdykt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AB7BF"/>
          <w:left w:val="single" w:sz="5" w:space="0" w:color="AAB7BF"/>
          <w:bottom w:val="single" w:sz="5" w:space="0" w:color="AAB7BF"/>
          <w:right w:val="single" w:sz="5" w:space="0" w:color="AAB7BF"/>
          <w:insideH w:val="single" w:sz="5" w:space="0" w:color="AAB7BF"/>
          <w:insideV w:val="single" w:sz="5" w:space="0" w:color="AAB7BF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/>
                <w:color w:val="141C2C"/>
                <w:sz w:val="17"/>
              </w:rPr>
              <w:t>DPIA_SCREENING=PASS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DPIA_REQUIRED_CURRENT_MVP=NO</w:t>
            </w:r>
          </w:p>
        </w:tc>
      </w:tr>
    </w:tbl>
    <w:p>
      <w:pPr>
        <w:spacing w:after="20"/>
      </w:pP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Obecny model nie wskazuje na zestaw okoliczności tworzących wysokie ryzyko wymagające DPIA, w szczególności brak szczególnych kategorii danych na dużą skalę i brak automatycznego profilowania użytkowników na dużą skalę.</w:t>
      </w:r>
    </w:p>
    <w:p>
      <w:pPr>
        <w:pStyle w:val="Heading2"/>
        <w:keepNext/>
        <w:spacing w:before="140" w:after="60"/>
      </w:pPr>
      <w:r>
        <w:t>9.2 Obowiązkowy re-screening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Przy: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automatycznym scoringu/rankingu osób/Partnerów mogącym istotnie wpływać na osoby;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behawioralnym profilowaniu użytkowników;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nowych wrażliwych kategoriach danych;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istotnym zwiększeniu skali systematycznego monitorowania;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znaczącej zmianie PSP/payment data architecture;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nowej technologii lub innym istotnym wzroście ryzyka.</w:t>
      </w:r>
    </w:p>
    <w:p>
      <w:pPr>
        <w:pStyle w:val="Heading1"/>
        <w:keepNext/>
        <w:spacing w:before="200" w:after="100"/>
      </w:pPr>
      <w:r>
        <w:t>10. LIA - wymagane testy uzasadnionego interesu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Przed go-live należy zatwierdzić co najmniej dwa pisemne LIA:</w:t>
      </w:r>
    </w:p>
    <w:p>
      <w:pPr>
        <w:pStyle w:val="Heading2"/>
        <w:keepNext/>
        <w:spacing w:before="140" w:after="60"/>
      </w:pPr>
      <w:r>
        <w:t>LIA-01 - ACT-04 Outbound attribution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interest: rozliczenie success fee, dowodowość, antifraud;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necessity: minimalizacja danych i brak third-party tracking;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balancing: pseudonimizacja, ograniczona retencja, brak reklamowego profilowania;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safeguards: HMAC/key management, access control, retention, Art. 13, Art. 21 handling.</w:t>
      </w:r>
    </w:p>
    <w:p>
      <w:pPr>
        <w:pStyle w:val="Heading2"/>
        <w:keepNext/>
        <w:spacing w:before="140" w:after="60"/>
      </w:pPr>
      <w:r>
        <w:t>LIA-02 - ACT-06 Partner contacts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interest: obsługa relacji B2B/KYB i komunikacja operacyjna;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necessity: minimalny kontakt reprezentanta;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balancing: oczekiwania w relacji zawodowej, brak wtórnego marketingu bez osobnej analizy;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safeguards: access controls, offboarding, minimalizacja, sprzeciw.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AB7BF"/>
          <w:left w:val="single" w:sz="5" w:space="0" w:color="AAB7BF"/>
          <w:bottom w:val="single" w:sz="5" w:space="0" w:color="AAB7BF"/>
          <w:right w:val="single" w:sz="5" w:space="0" w:color="AAB7BF"/>
          <w:insideH w:val="single" w:sz="5" w:space="0" w:color="AAB7BF"/>
          <w:insideV w:val="single" w:sz="5" w:space="0" w:color="AAB7BF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/>
                <w:color w:val="141C2C"/>
                <w:sz w:val="17"/>
              </w:rPr>
              <w:t>LIA_ACT04=OPEN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LIA_ACT06=OPEN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t>11. DSAR - procedura art. 12-23 RODO</w:t>
      </w:r>
    </w:p>
    <w:p>
      <w:pPr>
        <w:pStyle w:val="Heading2"/>
        <w:keepNext/>
        <w:spacing w:before="140" w:after="60"/>
      </w:pPr>
      <w:r>
        <w:t>Kanały</w:t>
      </w:r>
    </w:p>
    <w:p>
      <w:pPr>
        <w:pStyle w:val="ListBullet"/>
        <w:spacing w:after="40"/>
        <w:ind w:left="288"/>
      </w:pPr>
      <w:r>
        <w:rPr>
          <w:rFonts w:ascii="DejaVu Sans Mono" w:hAnsi="DejaVu Sans Mono"/>
          <w:color w:val="147487"/>
          <w:sz w:val="17"/>
        </w:rPr>
        <w:t>privacy@logimarket.eu</w:t>
      </w:r>
      <w:r>
        <w:rPr>
          <w:rFonts w:ascii="Inter" w:hAnsi="Inter"/>
          <w:color w:val="141C2C"/>
          <w:sz w:val="18"/>
        </w:rPr>
        <w:t xml:space="preserve"> po aktywacji;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poczta na oficjalny adres administratora;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future self-service tylko po zatwierdzeniu security/privacy.</w:t>
      </w:r>
    </w:p>
    <w:p>
      <w:pPr>
        <w:pStyle w:val="Heading2"/>
        <w:keepNext/>
        <w:spacing w:before="140" w:after="60"/>
      </w:pPr>
      <w:r>
        <w:t>Weryfikacja tożsamości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Stosować proporcjonalną weryfikację zgodnie z art. 12 ust. 6. Nie zbierać nadmiarowych dokumentów tożsamości, jeżeli żądanie można zweryfikować mniej inwazyjnie.</w:t>
      </w:r>
    </w:p>
    <w:p>
      <w:pPr>
        <w:pStyle w:val="Heading2"/>
        <w:keepNext/>
        <w:spacing w:before="140" w:after="60"/>
      </w:pPr>
      <w:r>
        <w:t>Terminy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Odpowiedź bez zbędnej zwłoki, co do zasady w ciągu miesiąca. Przy złożoności/liczbie żądań możliwe przedłużenie o kolejne dwa miesiące z informacją przekazaną w pierwszym miesiącu.</w:t>
      </w:r>
    </w:p>
    <w:p>
      <w:pPr>
        <w:pStyle w:val="Heading2"/>
        <w:keepNext/>
        <w:spacing w:before="140" w:after="60"/>
      </w:pPr>
      <w:r>
        <w:t>Koszt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Żądania są co do zasady bezpłatne. Opłata lub odmowa jest możliwa wyłącznie przy żądaniach ewidentnie nieuzasadnionych lub nadmiernych, w szczególności ze względu na ustawiczny charakter.</w:t>
      </w:r>
    </w:p>
    <w:p>
      <w:pPr>
        <w:pStyle w:val="Heading2"/>
        <w:keepNext/>
        <w:spacing w:before="140" w:after="60"/>
      </w:pPr>
      <w:r>
        <w:t>Minimalny case register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request ID/date;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osoba i sposób weryfikacji;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zakres praw;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systemy/dataset objęte żądaniem;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decyzja i wyjątki;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data odpowiedzi;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dowód wykonania.</w:t>
      </w:r>
    </w:p>
    <w:p>
      <w:pPr>
        <w:pStyle w:val="Heading1"/>
        <w:keepNext/>
        <w:spacing w:before="200" w:after="100"/>
      </w:pPr>
      <w:r>
        <w:t>12. Naruszenia danych - art. 33/34 RODO</w:t>
      </w:r>
    </w:p>
    <w:p>
      <w:pPr>
        <w:pStyle w:val="Heading2"/>
        <w:keepNext/>
        <w:spacing w:before="140" w:after="60"/>
      </w:pPr>
      <w:r>
        <w:t>12.1 Workflow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2D8"/>
          <w:left w:val="single" w:sz="5" w:space="0" w:color="CBD2D8"/>
          <w:bottom w:val="single" w:sz="5" w:space="0" w:color="CBD2D8"/>
          <w:right w:val="single" w:sz="5" w:space="0" w:color="CBD2D8"/>
          <w:insideH w:val="single" w:sz="5" w:space="0" w:color="CBD2D8"/>
          <w:insideV w:val="single" w:sz="5" w:space="0" w:color="CBD2D8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Etap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Wymaganie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Detection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natychmiastowa eskalacja do privacy/security ownera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Risk assessment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ustalić rodzaj danych, skalę, skutki, środki ograniczające i prawdopodobieństwo ryzyka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UODO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zgłoszenie bez zbędnej zwłoki, w miarę możliwości &lt;=72h od stwierdzenia, gdy naruszenie może powodować ryzyko dla praw i wolności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Data subjects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bez zbędnej zwłoki, gdy naruszenie może powodować wysokie ryzyko i nie zachodzi wyjątek art. 34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Record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każde naruszenie dokumentować zgodnie z art. 33 ust. 5</w:t>
            </w:r>
          </w:p>
        </w:tc>
      </w:tr>
    </w:tbl>
    <w:p>
      <w:pPr>
        <w:spacing w:after="20" w:before="20"/>
      </w:pPr>
    </w:p>
    <w:p>
      <w:pPr>
        <w:pStyle w:val="Heading2"/>
        <w:keepNext/>
        <w:spacing w:before="140" w:after="60"/>
      </w:pPr>
      <w:r>
        <w:t>12.2 Supabase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Aktualny DPA zobowiązuje Supabase do pisemnego powiadomienia Customer bez zbędnej zwłoki i - gdy wykonalne - w ciągu 48 godzin od uzyskania wiedzy o Security Incident. Jest to vendor SLA/evidence input, ale nie zmienia odpowiedzialności LogiMarket za własny termin art. 33 RODO.</w:t>
      </w:r>
    </w:p>
    <w:p>
      <w:pPr>
        <w:pStyle w:val="Heading1"/>
        <w:keepNext/>
        <w:spacing w:before="200" w:after="100"/>
      </w:pPr>
      <w:r>
        <w:t>13. Security / privacy by design - wymagania przed go-live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Minimalne wymagania privacy/security dla zakresu objętego dokumentem: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server-authoritative authorization i least privilege;</w:t>
      </w:r>
    </w:p>
    <w:p>
      <w:pPr>
        <w:pStyle w:val="ListBullet"/>
        <w:spacing w:after="40"/>
        <w:ind w:left="288"/>
      </w:pPr>
      <w:r>
        <w:rPr>
          <w:rFonts w:ascii="DejaVu Sans Mono" w:hAnsi="DejaVu Sans Mono"/>
          <w:color w:val="147487"/>
          <w:sz w:val="17"/>
        </w:rPr>
        <w:t>requireAdmin</w:t>
      </w:r>
      <w:r>
        <w:rPr>
          <w:rFonts w:ascii="Inter" w:hAnsi="Inter"/>
          <w:color w:val="141C2C"/>
          <w:sz w:val="18"/>
        </w:rPr>
        <w:t xml:space="preserve"> bez bypassów;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 xml:space="preserve">produkcyjne cookie </w:t>
      </w:r>
      <w:r>
        <w:rPr>
          <w:rFonts w:ascii="DejaVu Sans Mono" w:hAnsi="DejaVu Sans Mono"/>
          <w:color w:val="147487"/>
          <w:sz w:val="17"/>
        </w:rPr>
        <w:t>Secure</w:t>
      </w:r>
      <w:r>
        <w:rPr>
          <w:rFonts w:ascii="Inter" w:hAnsi="Inter"/>
          <w:color w:val="141C2C"/>
          <w:sz w:val="18"/>
        </w:rPr>
        <w:t xml:space="preserve">, </w:t>
      </w:r>
      <w:r>
        <w:rPr>
          <w:rFonts w:ascii="DejaVu Sans Mono" w:hAnsi="DejaVu Sans Mono"/>
          <w:color w:val="147487"/>
          <w:sz w:val="17"/>
        </w:rPr>
        <w:t>HttpOnly</w:t>
      </w:r>
      <w:r>
        <w:rPr>
          <w:rFonts w:ascii="Inter" w:hAnsi="Inter"/>
          <w:color w:val="141C2C"/>
          <w:sz w:val="18"/>
        </w:rPr>
        <w:t xml:space="preserve">, właściwe </w:t>
      </w:r>
      <w:r>
        <w:rPr>
          <w:rFonts w:ascii="DejaVu Sans Mono" w:hAnsi="DejaVu Sans Mono"/>
          <w:color w:val="147487"/>
          <w:sz w:val="17"/>
        </w:rPr>
        <w:t>SameSite</w:t>
      </w:r>
      <w:r>
        <w:rPr>
          <w:rFonts w:ascii="Inter" w:hAnsi="Inter"/>
          <w:color w:val="141C2C"/>
          <w:sz w:val="18"/>
        </w:rPr>
        <w:t>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HTTPS + potwierdzona polityka HSTS;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brak sekretów/PII w logach aplikacyjnych bez wyraźnej potrzeby;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kontrola dostępu do RFQ/orders/partner contact PII;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udokumentowane retention jobs;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rejestr vendorów i wersji DPA/subprocessors;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incident register i DSAR register;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LIA dla ACT-04 i ACT-06;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 xml:space="preserve">przegląd free-text </w:t>
      </w:r>
      <w:r>
        <w:rPr>
          <w:rFonts w:ascii="DejaVu Sans Mono" w:hAnsi="DejaVu Sans Mono"/>
          <w:color w:val="147487"/>
          <w:sz w:val="17"/>
        </w:rPr>
        <w:t>message</w:t>
      </w:r>
      <w:r>
        <w:rPr>
          <w:rFonts w:ascii="Inter" w:hAnsi="Inter"/>
          <w:color w:val="141C2C"/>
          <w:sz w:val="18"/>
        </w:rPr>
        <w:t xml:space="preserve"> pod kątem minimalizacji i ostrzeżenia przed podawaniem danych zbędnych/wrażliwych;</w:t>
      </w:r>
    </w:p>
    <w:p>
      <w:pPr>
        <w:pStyle w:val="ListBullet"/>
        <w:spacing w:after="40"/>
        <w:ind w:left="288"/>
      </w:pPr>
      <w:r>
        <w:rPr>
          <w:rFonts w:ascii="Inter" w:hAnsi="Inter"/>
          <w:color w:val="141C2C"/>
          <w:sz w:val="18"/>
        </w:rPr>
        <w:t>ponowny privacy review przy PSP/Partner Portal/B2C/automated ranking.</w:t>
      </w: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PASS w tych obszarach wymaga bezpośredniej evidence zgodnie z projektem; brak evidence = NOT_TESTED/OPEN, nie PASS.</w:t>
      </w:r>
    </w:p>
    <w:p>
      <w:pPr>
        <w:pStyle w:val="Heading1"/>
        <w:keepNext/>
        <w:spacing w:before="200" w:after="100"/>
      </w:pPr>
      <w:r>
        <w:t>14. Implementation conditions i gate closure</w:t>
      </w:r>
    </w:p>
    <w:p>
      <w:pPr>
        <w:pStyle w:val="Heading2"/>
        <w:keepNext/>
        <w:spacing w:before="140" w:after="60"/>
      </w:pPr>
      <w:r>
        <w:t>14.1 Privacy gates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AB7BF"/>
          <w:left w:val="single" w:sz="5" w:space="0" w:color="AAB7BF"/>
          <w:bottom w:val="single" w:sz="5" w:space="0" w:color="AAB7BF"/>
          <w:right w:val="single" w:sz="5" w:space="0" w:color="AAB7BF"/>
          <w:insideH w:val="single" w:sz="5" w:space="0" w:color="AAB7BF"/>
          <w:insideV w:val="single" w:sz="5" w:space="0" w:color="AAB7BF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/>
                <w:color w:val="141C2C"/>
                <w:sz w:val="17"/>
              </w:rPr>
              <w:t>LEG_MKT_09=APPROVED_WITH_CONDITIONS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OMQ_MKT_11=APPROVED_WITH_CONDITIONS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DPO_ARCHITECTURE_REVIEW=PASS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DPO_IMPLEMENTATION_EVIDENCE=OPEN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60"/>
      </w:pPr>
      <w:r>
        <w:t>14.2 Conditions before production</w:t>
      </w:r>
    </w:p>
    <w:p>
      <w:pPr>
        <w:spacing w:after="40"/>
        <w:ind w:left="317" w:hanging="317"/>
      </w:pPr>
      <w:r>
        <w:rPr>
          <w:rFonts w:ascii="Inter" w:hAnsi="Inter"/>
          <w:b/>
          <w:color w:val="141C2C"/>
          <w:sz w:val="18"/>
        </w:rPr>
        <w:t xml:space="preserve">1.  </w:t>
      </w:r>
      <w:r>
        <w:rPr>
          <w:rFonts w:ascii="Inter" w:hAnsi="Inter"/>
          <w:color w:val="141C2C"/>
          <w:sz w:val="18"/>
        </w:rPr>
        <w:t>Finalne dane administratora i działający privacy contact.</w:t>
      </w:r>
    </w:p>
    <w:p>
      <w:pPr>
        <w:spacing w:after="40"/>
        <w:ind w:left="317" w:hanging="317"/>
      </w:pPr>
      <w:r>
        <w:rPr>
          <w:rFonts w:ascii="Inter" w:hAnsi="Inter"/>
          <w:b/>
          <w:color w:val="141C2C"/>
          <w:sz w:val="18"/>
        </w:rPr>
        <w:t xml:space="preserve">2.  </w:t>
      </w:r>
      <w:r>
        <w:rPr>
          <w:rFonts w:ascii="Inter" w:hAnsi="Inter"/>
          <w:color w:val="141C2C"/>
          <w:sz w:val="18"/>
        </w:rPr>
        <w:t xml:space="preserve">Zastąpienie </w:t>
      </w:r>
      <w:r>
        <w:rPr>
          <w:rFonts w:ascii="DejaVu Sans Mono" w:hAnsi="DejaVu Sans Mono"/>
          <w:color w:val="147487"/>
          <w:sz w:val="17"/>
        </w:rPr>
        <w:t>rfqLabels.consent</w:t>
      </w:r>
      <w:r>
        <w:rPr>
          <w:rFonts w:ascii="Inter" w:hAnsi="Inter"/>
          <w:color w:val="141C2C"/>
          <w:sz w:val="18"/>
        </w:rPr>
        <w:t xml:space="preserve"> warstwowym Art. 13 notice.</w:t>
      </w:r>
    </w:p>
    <w:p>
      <w:pPr>
        <w:spacing w:after="40"/>
        <w:ind w:left="317" w:hanging="317"/>
      </w:pPr>
      <w:r>
        <w:rPr>
          <w:rFonts w:ascii="Inter" w:hAnsi="Inter"/>
          <w:b/>
          <w:color w:val="141C2C"/>
          <w:sz w:val="18"/>
        </w:rPr>
        <w:t xml:space="preserve">3.  </w:t>
      </w:r>
      <w:r>
        <w:rPr>
          <w:rFonts w:ascii="Inter" w:hAnsi="Inter"/>
          <w:color w:val="141C2C"/>
          <w:sz w:val="18"/>
        </w:rPr>
        <w:t>Finalne Art. 13/Privacy Policy obejmujące third-country transfers.</w:t>
      </w:r>
    </w:p>
    <w:p>
      <w:pPr>
        <w:spacing w:after="40"/>
        <w:ind w:left="317" w:hanging="317"/>
      </w:pPr>
      <w:r>
        <w:rPr>
          <w:rFonts w:ascii="Inter" w:hAnsi="Inter"/>
          <w:b/>
          <w:color w:val="141C2C"/>
          <w:sz w:val="18"/>
        </w:rPr>
        <w:t xml:space="preserve">4.  </w:t>
      </w:r>
      <w:r>
        <w:rPr>
          <w:rFonts w:ascii="Inter" w:hAnsi="Inter"/>
          <w:color w:val="141C2C"/>
          <w:sz w:val="18"/>
        </w:rPr>
        <w:t xml:space="preserve">Engineering evidence produkcyjnego </w:t>
      </w:r>
      <w:r>
        <w:rPr>
          <w:rFonts w:ascii="DejaVu Sans Mono" w:hAnsi="DejaVu Sans Mono"/>
          <w:color w:val="147487"/>
          <w:sz w:val="17"/>
        </w:rPr>
        <w:t>Secure</w:t>
      </w:r>
      <w:r>
        <w:rPr>
          <w:rFonts w:ascii="Inter" w:hAnsi="Inter"/>
          <w:color w:val="141C2C"/>
          <w:sz w:val="18"/>
        </w:rPr>
        <w:t xml:space="preserve"> cookie + HTTPS/HSTS.</w:t>
      </w:r>
    </w:p>
    <w:p>
      <w:pPr>
        <w:spacing w:after="40"/>
        <w:ind w:left="317" w:hanging="317"/>
      </w:pPr>
      <w:r>
        <w:rPr>
          <w:rFonts w:ascii="Inter" w:hAnsi="Inter"/>
          <w:b/>
          <w:color w:val="141C2C"/>
          <w:sz w:val="18"/>
        </w:rPr>
        <w:t xml:space="preserve">5.  </w:t>
      </w:r>
      <w:r>
        <w:rPr>
          <w:rFonts w:ascii="Inter" w:hAnsi="Inter"/>
          <w:color w:val="141C2C"/>
          <w:sz w:val="18"/>
        </w:rPr>
        <w:t>Owner decision: session-only cart albo persistence z prawidłowym mechanizmem art. 399 PKE.</w:t>
      </w:r>
    </w:p>
    <w:p>
      <w:pPr>
        <w:spacing w:after="40"/>
        <w:ind w:left="317" w:hanging="317"/>
      </w:pPr>
      <w:r>
        <w:rPr>
          <w:rFonts w:ascii="Inter" w:hAnsi="Inter"/>
          <w:b/>
          <w:color w:val="141C2C"/>
          <w:sz w:val="18"/>
        </w:rPr>
        <w:t xml:space="preserve">6.  </w:t>
      </w:r>
      <w:r>
        <w:rPr>
          <w:rFonts w:ascii="Inter" w:hAnsi="Inter"/>
          <w:color w:val="141C2C"/>
          <w:sz w:val="18"/>
        </w:rPr>
        <w:t>Retention enforcement i audit evidence dla datasetów objętych policy.</w:t>
      </w:r>
    </w:p>
    <w:p>
      <w:pPr>
        <w:spacing w:after="40"/>
        <w:ind w:left="317" w:hanging="317"/>
      </w:pPr>
      <w:r>
        <w:rPr>
          <w:rFonts w:ascii="Inter" w:hAnsi="Inter"/>
          <w:b/>
          <w:color w:val="141C2C"/>
          <w:sz w:val="18"/>
        </w:rPr>
        <w:t xml:space="preserve">7.  </w:t>
      </w:r>
      <w:r>
        <w:rPr>
          <w:rFonts w:ascii="Inter" w:hAnsi="Inter"/>
          <w:color w:val="141C2C"/>
          <w:sz w:val="18"/>
        </w:rPr>
        <w:t>LIA ACT-04 i ACT-06.</w:t>
      </w:r>
    </w:p>
    <w:p>
      <w:pPr>
        <w:spacing w:after="40"/>
        <w:ind w:left="317" w:hanging="317"/>
      </w:pPr>
      <w:r>
        <w:rPr>
          <w:rFonts w:ascii="Inter" w:hAnsi="Inter"/>
          <w:b/>
          <w:color w:val="141C2C"/>
          <w:sz w:val="18"/>
        </w:rPr>
        <w:t xml:space="preserve">8.  </w:t>
      </w:r>
      <w:r>
        <w:rPr>
          <w:rFonts w:ascii="Inter" w:hAnsi="Inter"/>
          <w:color w:val="141C2C"/>
          <w:sz w:val="18"/>
        </w:rPr>
        <w:t>Wewnętrzny Vendor Register i subprocessor change monitoring.</w:t>
      </w:r>
    </w:p>
    <w:p>
      <w:pPr>
        <w:spacing w:after="40"/>
        <w:ind w:left="317" w:hanging="317"/>
      </w:pPr>
      <w:r>
        <w:rPr>
          <w:rFonts w:ascii="Inter" w:hAnsi="Inter"/>
          <w:b/>
          <w:color w:val="141C2C"/>
          <w:sz w:val="18"/>
        </w:rPr>
        <w:t xml:space="preserve">9.  </w:t>
      </w:r>
      <w:r>
        <w:rPr>
          <w:rFonts w:ascii="Inter" w:hAnsi="Inter"/>
          <w:color w:val="141C2C"/>
          <w:sz w:val="18"/>
        </w:rPr>
        <w:t>TIA refresh/confirmation against current 2026 Supabase DPA/subprocessor chain w ramach go-live/periodic vendor review.</w:t>
      </w:r>
    </w:p>
    <w:p>
      <w:pPr>
        <w:spacing w:after="40"/>
        <w:ind w:left="317" w:hanging="317"/>
      </w:pPr>
      <w:r>
        <w:rPr>
          <w:rFonts w:ascii="Inter" w:hAnsi="Inter"/>
          <w:b/>
          <w:color w:val="141C2C"/>
          <w:sz w:val="18"/>
        </w:rPr>
        <w:t xml:space="preserve">10.  </w:t>
      </w:r>
      <w:r>
        <w:rPr>
          <w:rFonts w:ascii="Inter" w:hAnsi="Inter"/>
          <w:color w:val="141C2C"/>
          <w:sz w:val="18"/>
        </w:rPr>
        <w:t>Art. 26/C2C + Art. 13/14 assessment przed pierwszym rzeczywistym production PII transfer do Partnera.</w:t>
      </w:r>
    </w:p>
    <w:p>
      <w:pPr>
        <w:spacing w:after="40"/>
        <w:ind w:left="317" w:hanging="317"/>
      </w:pPr>
      <w:r>
        <w:rPr>
          <w:rFonts w:ascii="Inter" w:hAnsi="Inter"/>
          <w:b/>
          <w:color w:val="141C2C"/>
          <w:sz w:val="18"/>
        </w:rPr>
        <w:t xml:space="preserve">11.  </w:t>
      </w:r>
      <w:r>
        <w:rPr>
          <w:rFonts w:ascii="Inter" w:hAnsi="Inter"/>
          <w:color w:val="141C2C"/>
          <w:sz w:val="18"/>
        </w:rPr>
        <w:t>DSAR i breach procedures operationalized.</w:t>
      </w:r>
    </w:p>
    <w:p>
      <w:pPr>
        <w:pStyle w:val="Heading2"/>
        <w:keepNext/>
        <w:spacing w:before="140" w:after="60"/>
      </w:pPr>
      <w:r>
        <w:t>14.3 56B1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AB7BF"/>
          <w:left w:val="single" w:sz="5" w:space="0" w:color="AAB7BF"/>
          <w:bottom w:val="single" w:sz="5" w:space="0" w:color="AAB7BF"/>
          <w:right w:val="single" w:sz="5" w:space="0" w:color="AAB7BF"/>
          <w:insideH w:val="single" w:sz="5" w:space="0" w:color="AAB7BF"/>
          <w:insideV w:val="single" w:sz="5" w:space="0" w:color="AAB7BF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/>
                <w:color w:val="141C2C"/>
                <w:sz w:val="17"/>
              </w:rPr>
              <w:t>DPO_ARCHITECTURAL_BLOCKER_FOR_56B1=CLEARED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TAX_DAC7_BLOCKER=OPEN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OWNER_ENGINEERING_READINESS=OPEN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LM_MARKETPLACE_SCHEMA_56B1_READY=NO</w:t>
            </w:r>
          </w:p>
        </w:tc>
      </w:tr>
    </w:tbl>
    <w:p>
      <w:pPr>
        <w:spacing w:after="20"/>
      </w:pPr>
    </w:p>
    <w:p>
      <w:pPr>
        <w:spacing w:after="100" w:line="254" w:lineRule="auto"/>
      </w:pPr>
      <w:r>
        <w:rPr>
          <w:rFonts w:ascii="Inter" w:hAnsi="Inter"/>
          <w:color w:val="141C2C"/>
          <w:sz w:val="19"/>
        </w:rPr>
        <w:t>Privacy P0 przed go-live nie powinien być przypadkowo dokładany do sprintu 56B1, jeżeli nie należy do jego scope. Odpowiednie zmiany UI/security/retention powinny zostać zaplanowane w osobnych, autoryzowanych sprintach.</w:t>
      </w:r>
    </w:p>
    <w:p>
      <w:pPr>
        <w:pStyle w:val="Heading1"/>
        <w:keepNext/>
        <w:spacing w:before="200" w:after="100"/>
      </w:pPr>
      <w:r>
        <w:t>15. Evidence register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BD2D8"/>
          <w:left w:val="single" w:sz="5" w:space="0" w:color="CBD2D8"/>
          <w:bottom w:val="single" w:sz="5" w:space="0" w:color="CBD2D8"/>
          <w:right w:val="single" w:sz="5" w:space="0" w:color="CBD2D8"/>
          <w:insideH w:val="single" w:sz="5" w:space="0" w:color="CBD2D8"/>
          <w:insideV w:val="single" w:sz="5" w:space="0" w:color="CBD2D8"/>
        </w:tblBorders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ID</w:t>
            </w:r>
          </w:p>
        </w:tc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41C2C"/>
          </w:tcPr>
          <w:p>
            <w:pPr>
              <w:spacing w:after="0" w:before="0"/>
            </w:pPr>
            <w:r/>
            <w:r>
              <w:rPr>
                <w:rFonts w:ascii="Inter" w:hAnsi="Inter"/>
                <w:b/>
                <w:color w:val="FFFFFF"/>
                <w:sz w:val="18"/>
              </w:rPr>
              <w:t>Status / znaczenie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E1</w:t>
            </w:r>
          </w:p>
        </w:tc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Screenshot Supabase Project Settings, 9.08.2026</w:t>
            </w:r>
          </w:p>
        </w:tc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eu-west-1, West EU (Ireland) - primary project region confirmed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E2</w:t>
            </w:r>
          </w:p>
        </w:tc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Supabase DPA, Version 1 - August 1, 2026</w:t>
            </w:r>
          </w:p>
        </w:tc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DPA part of Agreement; processor role; SCC; acceptance of Agreement equivalent to SCC signature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E3</w:t>
            </w:r>
          </w:p>
        </w:tc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Supabase official Subprocessor List</w:t>
            </w:r>
          </w:p>
        </w:tc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Updated June 1, 2026; change subscription available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E4</w:t>
            </w:r>
          </w:p>
        </w:tc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Supabase+TIA+250314-1.pdf</w:t>
            </w:r>
          </w:p>
        </w:tc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TIA dated 14.03.2025; USA/Singapore/onward transfer analysis; refresh required against 2026 DPA/entity/subprocessors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E5</w:t>
            </w:r>
          </w:p>
        </w:tc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logimarket_pakiet_dpo_v1.0_draft.md</w:t>
            </w:r>
          </w:p>
        </w:tc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Source draft for ACTs, ROPA, notices, retention, cookie, DPA, roles, DPIA, DSAR, breach, Art.26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E6</w:t>
            </w:r>
          </w:p>
        </w:tc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LogiMarket GDPR/Data Flow Pack</w:t>
            </w:r>
          </w:p>
        </w:tc>
        <w:tc>
          <w:tcPr>
            <w:tcW w:type="dxa" w:w="3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8F9"/>
          </w:tcPr>
          <w:p>
            <w:pPr>
              <w:spacing w:after="0" w:before="0"/>
            </w:pPr>
            <w:r/>
            <w:r>
              <w:rPr>
                <w:rFonts w:ascii="Inter" w:hAnsi="Inter"/>
                <w:b w:val="0"/>
                <w:color w:val="141C2C"/>
                <w:sz w:val="18"/>
              </w:rPr>
              <w:t>Technical fact inventory and pending/privacy decisions supporting ACT-01...ACT-06</w:t>
            </w:r>
          </w:p>
        </w:tc>
      </w:tr>
    </w:tbl>
    <w:p>
      <w:pPr>
        <w:spacing w:after="20" w:before="20"/>
      </w:pPr>
    </w:p>
    <w:p>
      <w:pPr>
        <w:pStyle w:val="Heading1"/>
        <w:keepNext/>
        <w:spacing w:before="200" w:after="100"/>
      </w:pPr>
      <w:r>
        <w:t>16. Źródła prawne i oficjalne</w:t>
      </w:r>
    </w:p>
    <w:p>
      <w:pPr>
        <w:spacing w:after="100" w:line="254" w:lineRule="auto"/>
      </w:pPr>
      <w:r>
        <w:rPr>
          <w:rFonts w:ascii="Inter" w:hAnsi="Inter"/>
          <w:b/>
          <w:color w:val="141C2C"/>
          <w:sz w:val="19"/>
        </w:rPr>
        <w:t>[S1] RODO / GDPR:</w:t>
      </w:r>
      <w:r>
        <w:rPr>
          <w:rFonts w:ascii="Inter" w:hAnsi="Inter"/>
          <w:color w:val="141C2C"/>
          <w:sz w:val="19"/>
        </w:rPr>
        <w:t xml:space="preserve"> Rozporządzenie (UE) 2016/679, w szczególności art. 5, 6, 12-14, 21, 26, 28, 30, 32-35, 37-39, 44-49. Oficjalny EUR-Lex. </w:t>
      </w:r>
      <w:r>
        <w:rPr>
          <w:rFonts w:ascii="Inter" w:hAnsi="Inter"/>
          <w:b/>
          <w:color w:val="141C2C"/>
          <w:sz w:val="19"/>
        </w:rPr>
        <w:t>[S2] PKE:</w:t>
      </w:r>
      <w:r>
        <w:rPr>
          <w:rFonts w:ascii="Inter" w:hAnsi="Inter"/>
          <w:color w:val="141C2C"/>
          <w:sz w:val="19"/>
        </w:rPr>
        <w:t xml:space="preserve"> Ustawa z 12 lipca 2024 r. - Prawo komunikacji elektronicznej, Dz.U. 2024 poz. 1221, art. 399-400. Oficjalny ELI. </w:t>
      </w:r>
      <w:r>
        <w:rPr>
          <w:rFonts w:ascii="Inter" w:hAnsi="Inter"/>
          <w:b/>
          <w:color w:val="141C2C"/>
          <w:sz w:val="19"/>
        </w:rPr>
        <w:t>[S3] KC:</w:t>
      </w:r>
      <w:r>
        <w:rPr>
          <w:rFonts w:ascii="Inter" w:hAnsi="Inter"/>
          <w:color w:val="141C2C"/>
          <w:sz w:val="19"/>
        </w:rPr>
        <w:t xml:space="preserve"> Kodeks cywilny, tekst jednolity Dz.U. 2026 poz. 795, w szczególności art. 118 i właściwe przepisy szczególne dotyczące przedawnienia. Oficjalny ELI. </w:t>
      </w:r>
      <w:r>
        <w:rPr>
          <w:rFonts w:ascii="Inter" w:hAnsi="Inter"/>
          <w:b/>
          <w:color w:val="141C2C"/>
          <w:sz w:val="19"/>
        </w:rPr>
        <w:t>[S4] EDPB Guidelines 07/2020:</w:t>
      </w:r>
      <w:r>
        <w:rPr>
          <w:rFonts w:ascii="Inter" w:hAnsi="Inter"/>
          <w:color w:val="141C2C"/>
          <w:sz w:val="19"/>
        </w:rPr>
        <w:t xml:space="preserve"> concepts of controller and processor in the GDPR. </w:t>
      </w:r>
      <w:r>
        <w:rPr>
          <w:rFonts w:ascii="Inter" w:hAnsi="Inter"/>
          <w:b/>
          <w:color w:val="141C2C"/>
          <w:sz w:val="19"/>
        </w:rPr>
        <w:t>[S5] EDPB Recommendations 01/2020:</w:t>
      </w:r>
      <w:r>
        <w:rPr>
          <w:rFonts w:ascii="Inter" w:hAnsi="Inter"/>
          <w:color w:val="141C2C"/>
          <w:sz w:val="19"/>
        </w:rPr>
        <w:t xml:space="preserve"> measures supplementing transfer tools. </w:t>
      </w:r>
      <w:r>
        <w:rPr>
          <w:rFonts w:ascii="Inter" w:hAnsi="Inter"/>
          <w:b/>
          <w:color w:val="141C2C"/>
          <w:sz w:val="19"/>
        </w:rPr>
        <w:t>[S6] Supabase DPA:</w:t>
      </w:r>
      <w:r>
        <w:rPr>
          <w:rFonts w:ascii="Inter" w:hAnsi="Inter"/>
          <w:color w:val="141C2C"/>
          <w:sz w:val="19"/>
        </w:rPr>
        <w:t xml:space="preserve"> </w:t>
      </w:r>
      <w:r>
        <w:rPr>
          <w:rFonts w:ascii="DejaVu Sans Mono" w:hAnsi="DejaVu Sans Mono"/>
          <w:color w:val="147487"/>
          <w:sz w:val="17"/>
        </w:rPr>
        <w:t>https://supabase.com/legal/customer-resources/data-processing-addendum</w:t>
      </w:r>
      <w:r>
        <w:rPr>
          <w:rFonts w:ascii="Inter" w:hAnsi="Inter"/>
          <w:color w:val="141C2C"/>
          <w:sz w:val="19"/>
        </w:rPr>
        <w:t xml:space="preserve">, Version 1 - August 1, 2026. </w:t>
      </w:r>
      <w:r>
        <w:rPr>
          <w:rFonts w:ascii="Inter" w:hAnsi="Inter"/>
          <w:b/>
          <w:color w:val="141C2C"/>
          <w:sz w:val="19"/>
        </w:rPr>
        <w:t>[S7] Supabase Subprocessor List:</w:t>
      </w:r>
      <w:r>
        <w:rPr>
          <w:rFonts w:ascii="Inter" w:hAnsi="Inter"/>
          <w:color w:val="141C2C"/>
          <w:sz w:val="19"/>
        </w:rPr>
        <w:t xml:space="preserve"> </w:t>
      </w:r>
      <w:r>
        <w:rPr>
          <w:rFonts w:ascii="DejaVu Sans Mono" w:hAnsi="DejaVu Sans Mono"/>
          <w:color w:val="147487"/>
          <w:sz w:val="17"/>
        </w:rPr>
        <w:t>https://supabase.com/legal/customer-resources/subprocessor-list</w:t>
      </w:r>
      <w:r>
        <w:rPr>
          <w:rFonts w:ascii="Inter" w:hAnsi="Inter"/>
          <w:color w:val="141C2C"/>
          <w:sz w:val="19"/>
        </w:rPr>
        <w:t xml:space="preserve">, updated June 1, 2026. </w:t>
      </w:r>
      <w:r>
        <w:rPr>
          <w:rFonts w:ascii="Inter" w:hAnsi="Inter"/>
          <w:b/>
          <w:color w:val="141C2C"/>
          <w:sz w:val="19"/>
        </w:rPr>
        <w:t>[S8] Supabase TIA:</w:t>
      </w:r>
      <w:r>
        <w:rPr>
          <w:rFonts w:ascii="Inter" w:hAnsi="Inter"/>
          <w:color w:val="141C2C"/>
          <w:sz w:val="19"/>
        </w:rPr>
        <w:t xml:space="preserve"> customer-provided PDF dated 14 March 2025.</w:t>
      </w:r>
    </w:p>
    <w:p>
      <w:pPr>
        <w:pStyle w:val="Heading1"/>
        <w:keepNext/>
        <w:spacing w:before="200" w:after="100"/>
      </w:pPr>
      <w:r>
        <w:t>17. Final status record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AB7BF"/>
          <w:left w:val="single" w:sz="5" w:space="0" w:color="AAB7BF"/>
          <w:bottom w:val="single" w:sz="5" w:space="0" w:color="AAB7BF"/>
          <w:right w:val="single" w:sz="5" w:space="0" w:color="AAB7BF"/>
          <w:insideH w:val="single" w:sz="5" w:space="0" w:color="AAB7BF"/>
          <w:insideV w:val="single" w:sz="5" w:space="0" w:color="AAB7BF"/>
        </w:tblBorders>
      </w:tblPr>
      <w:tblGrid>
        <w:gridCol w:w="10224"/>
      </w:tblGrid>
      <w:tr>
        <w:tc>
          <w:tcPr>
            <w:tcW w:type="dxa" w:w="10224"/>
            <w:shd w:fill="F4F6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/>
                <w:color w:val="141C2C"/>
                <w:sz w:val="17"/>
              </w:rPr>
              <w:t>PRIVACY_WORKSTREAM_SUBSTANTIVE_REVIEW=CLOSED_WITH_CONDITIONS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FORMAL_IOD_REQUIRED_CURRENT_MVP=NO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IOD_RESCREEN_REQUIRED=YES_ON_TRIGGER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ROPA_DESIGN=APPROVED_WITH_CORRECTIONS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ART13_MODEL=APPROVED_WITH_IMPLEMENTATION_REQUIRED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COOKIE_POLICY=APPROVED_AS_DECISION_FRAMEWORK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RETENTION_POLICY=APPROVED_AS_TARGET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SUPABASE_PRIMARY_REGION_EEA=PASS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SUPABASE_DPA=VERIFIED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SUPABASE_SCC=VERIFIED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SUPABASE_SUBPROCESSOR_SOURCE=VERIFIED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SUPABASE_TIA=AVAILABLE_REFRESH_REQUIRED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THIRD_COUNTRY_TRANSFERS=YES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DPIA_REQUIRED_CURRENT_MVP=NO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LEG_MKT_09=APPROVED_WITH_CONDITIONS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OMQ_MKT_11=APPROVED_WITH_CONDITIONS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DPO_ARCHITECTURAL_BLOCKER_FOR_56B1=CLEARED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LM_MARKETPLACE_SCHEMA_56B1_READY=NO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NEXT_EXTERNAL_GATE=TAX_DAC7</w:t>
            </w:r>
            <w:r>
              <w:br/>
            </w:r>
            <w:r>
              <w:rPr>
                <w:rFonts w:ascii="DejaVu Sans Mono" w:hAnsi="DejaVu Sans Mono"/>
                <w:color w:val="141C2C"/>
                <w:sz w:val="17"/>
              </w:rPr>
              <w:t>NEXT_INTERNAL_GATE=OWNER_ENGINEERING_READINESS</w:t>
            </w:r>
          </w:p>
        </w:tc>
      </w:tr>
    </w:tbl>
    <w:p>
      <w:pPr>
        <w:spacing w:after="20"/>
      </w:pPr>
    </w:p>
    <w:p>
      <w:pPr>
        <w:spacing w:after="100" w:line="254" w:lineRule="auto"/>
      </w:pPr>
      <w:r>
        <w:rPr>
          <w:rFonts w:ascii="Inter" w:hAnsi="Inter"/>
          <w:b/>
          <w:color w:val="141C2C"/>
          <w:sz w:val="19"/>
        </w:rPr>
        <w:t>Owner Review boundary:</w:t>
      </w:r>
      <w:r>
        <w:rPr>
          <w:rFonts w:ascii="Inter" w:hAnsi="Inter"/>
          <w:color w:val="141C2C"/>
          <w:sz w:val="19"/>
        </w:rPr>
        <w:t xml:space="preserve"> niniejszy dokument kończy konsolidację privacy na poziomie architektonicznym. Nie uruchamia automatycznie zmian w kodzie, DB, migracji ani produkcji.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9" w:space="0" w:color="147487"/>
          <w:left w:val="single" w:sz="9" w:space="0" w:color="147487"/>
          <w:bottom w:val="single" w:sz="9" w:space="0" w:color="147487"/>
          <w:right w:val="single" w:sz="9" w:space="0" w:color="147487"/>
          <w:insideH w:val="single" w:sz="9" w:space="0" w:color="147487"/>
          <w:insideV w:val="single" w:sz="9" w:space="0" w:color="147487"/>
        </w:tblBorders>
      </w:tblPr>
      <w:tblGrid>
        <w:gridCol w:w="10224"/>
      </w:tblGrid>
      <w:tr>
        <w:tc>
          <w:tcPr>
            <w:tcW w:type="dxa" w:w="10224"/>
            <w:shd w:fill="FBF3E4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/>
            <w:r>
              <w:rPr>
                <w:rFonts w:ascii="Inter" w:hAnsi="Inter"/>
                <w:color w:val="141C2C"/>
                <w:sz w:val="18"/>
              </w:rPr>
              <w:t>FINAL: Privacy architecture jest zamknięta warunkowo. Dalsze działania wymagają osobnych sprintów/evidence; niniejszy dokument nie autoryzuje mutacji DB, zmian schematu ani produkcyjnych zapisów.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Inter" w:hAnsi="Inter"/>
        <w:color w:val="677180"/>
        <w:sz w:val="15"/>
      </w:rPr>
      <w:t xml:space="preserve">DPO / Privacy Compliance Final v1.0 | 9 sierpnia 2026 r. | Strona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Inter" w:hAnsi="Inter"/>
        <w:b/>
        <w:color w:val="141C2C"/>
        <w:sz w:val="16"/>
      </w:rPr>
      <w:t>LOGIMARKET.EU | DPO / PRIVACY FINAL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Inter" w:hAnsi="Inter"/>
      <w:color w:val="141C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141C2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14748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141C2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b/>
      <w:color w:val="141C2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color w:val="141C2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Inter" w:hAnsi="Inter"/>
      <w:color w:val="141C2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/>
      <w:color w:val="141C2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LogiMarket DPO / Privacy Compliance Final Decision Record v1.0</dc:title>
  <dc:subject>RODO/GDPR privacy compliance, Supabase DPA/SCC/TIA, retention, cookies, roles and implementation gates</dc:subject>
  <dc:creator>LogiMarket - Owner/Privacy Consolidation</dc:creator>
  <cp:keywords>LogiMarket, GDPR, RODO, DPO, IOD, Supabase, DPA, SCC, TIA, privacy, retention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