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nter" w:hAnsi="Inter"/>
          <w:b/>
          <w:color w:val="141C2C"/>
          <w:sz w:val="50"/>
        </w:rPr>
        <w:t>LOGIMARKET</w:t>
      </w:r>
      <w:r>
        <w:rPr>
          <w:rFonts w:ascii="Inter" w:hAnsi="Inter"/>
          <w:b/>
          <w:color w:val="147487"/>
          <w:sz w:val="50"/>
        </w:rPr>
        <w:t>.EU</w:t>
      </w:r>
    </w:p>
    <w:p>
      <w:pPr>
        <w:jc w:val="right"/>
      </w:pPr>
      <w:r>
        <w:rPr>
          <w:rFonts w:ascii="Inter" w:hAnsi="Inter"/>
          <w:b w:val="0"/>
          <w:color w:val="5B6472"/>
          <w:sz w:val="18"/>
        </w:rPr>
        <w:t>9 sierpnia 2026 r.</w:t>
      </w:r>
    </w:p>
    <w:p>
      <w:r>
        <w:rPr>
          <w:rFonts w:ascii="Inter" w:hAnsi="Inter"/>
          <w:b/>
          <w:color w:val="141C2C"/>
          <w:sz w:val="20"/>
        </w:rPr>
        <w:t>Szanowni Państwo,</w:t>
      </w:r>
    </w:p>
    <w:p>
      <w:r>
        <w:rPr>
          <w:rFonts w:ascii="Inter" w:hAnsi="Inter"/>
          <w:b w:val="0"/>
          <w:color w:val="141C2C"/>
          <w:sz w:val="19"/>
        </w:rPr>
        <w:t>w nawiązaniu do przekazanego wcześniej pakietu Counsel Pack v1.0 dla LogiMarket Marketplace B2B przesyłamy skorygowane Correction &amp; Confirmation Memo R2.1. Dokument porządkuje kwestie, które wymagają formalnego potwierdzenia przed rozpoczęciem kolejnego etapu projektowania fizycznego modelu marketplace.</w:t>
      </w:r>
    </w:p>
    <w:p>
      <w:r>
        <w:rPr>
          <w:rFonts w:ascii="Inter" w:hAnsi="Inter"/>
          <w:b w:val="0"/>
          <w:color w:val="141C2C"/>
          <w:sz w:val="19"/>
        </w:rPr>
        <w:t>Model biznesowy pozostaje niezmieniony: LogiMarket ma działać jako marketplace B2B i platforma pośrednicząca, Partner ma pozostawać sprzedawcą towaru, a LogiMarket nie ma być stroną umowy sprzedaży ani przechowywać środków kupujących na własnym rachunku. W trakcie wewnętrznego przeglądu wykryliśmy jednak kilka błędów w roboczej analizie prawnej i celowo nie traktujemy jej jako podstawy do zamknięcia bramek prawnych.</w:t>
      </w:r>
    </w:p>
    <w:p>
      <w:r>
        <w:rPr>
          <w:rFonts w:ascii="Inter" w:hAnsi="Inter"/>
          <w:b w:val="0"/>
          <w:color w:val="141C2C"/>
          <w:sz w:val="19"/>
        </w:rPr>
        <w:t>Prosimy o formalną weryfikację Memo R2.1, w szczególności w zakresie: właściwej kwalifikacji modelu pośrednictwa; momentu zawarcia umowy w e-commerce i RFQ; zakresu ujawnienia danych sprzedawcy; zastosowania P2B do rzeczywistego pure B2B; klasyfikacji i obowiązków DSA; metodologii B2B gatingu; ról RODO i retencji; cookie/PKE; KSeF, DAC7 oraz docelowego modelu płatności przez licencjonowanego PSP.</w:t>
      </w:r>
    </w:p>
    <w:p>
      <w:r>
        <w:rPr>
          <w:rFonts w:ascii="Inter" w:hAnsi="Inter"/>
          <w:b w:val="0"/>
          <w:color w:val="141C2C"/>
          <w:sz w:val="19"/>
        </w:rPr>
        <w:t>Dla każdego zagadnienia prosimy, w miarę możliwości, o odpowiedź w formule: APPROVED / APPROVED_WITH_CONDITIONS / NOT_APPLICABLE / MORE_FACTS_REQUIRED, wraz z podstawą prawną, warunkami, wymaganymi zmianami w regulaminie/UI/systemie i wpływem na dalsze projektowanie.</w:t>
      </w:r>
    </w:p>
    <w:p>
      <w:r>
        <w:rPr>
          <w:rFonts w:ascii="Inter" w:hAnsi="Inter"/>
          <w:b w:val="0"/>
          <w:color w:val="141C2C"/>
          <w:sz w:val="19"/>
        </w:rPr>
        <w:t>Do czasu otrzymania Państwa odpowiedzi status LM_MARKETPLACE_SCHEMA_56B1_READY pozostaje NO i nie rozpoczynamy implementacji docelowego fizycznego modelu marketplace. Po otrzymaniu opinii przeprowadzimy osobny readiness review i dopiero wtedy podejmiemy decyzję o rozpoczęciu kolejnego sprintu technicznego.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0F0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Inter" w:hAnsi="Inter"/>
                <w:b/>
                <w:color w:val="141C2C"/>
                <w:sz w:val="18"/>
              </w:rPr>
              <w:t>Załącznik do weryfikacji</w:t>
              <w:br/>
            </w:r>
            <w:r>
              <w:rPr>
                <w:rFonts w:ascii="Inter" w:hAnsi="Inter"/>
                <w:b w:val="0"/>
                <w:color w:val="141C2C"/>
                <w:sz w:val="18"/>
              </w:rPr>
              <w:t>LogiMarket - Correction &amp; Confirmation Memo R2.1. Jeżeli potrzebne będą ponownie trzy dokumenty Counsel Pack v1.0, przekażemy je jako materiał referencyjny.</w:t>
            </w:r>
          </w:p>
        </w:tc>
      </w:tr>
    </w:tbl>
    <w:p/>
    <w:p>
      <w:r>
        <w:rPr>
          <w:rFonts w:ascii="Inter" w:hAnsi="Inter"/>
          <w:b w:val="0"/>
          <w:color w:val="141C2C"/>
          <w:sz w:val="19"/>
        </w:rPr>
        <w:t>Z poważaniem,</w:t>
      </w:r>
    </w:p>
    <w:p>
      <w:r>
        <w:rPr>
          <w:rFonts w:ascii="Inter" w:hAnsi="Inter"/>
          <w:b/>
          <w:color w:val="141C2C"/>
          <w:sz w:val="20"/>
        </w:rPr>
        <w:t>Piotr Fiszer</w:t>
      </w:r>
    </w:p>
    <w:p>
      <w:r>
        <w:rPr>
          <w:rFonts w:ascii="Inter" w:hAnsi="Inter"/>
          <w:b w:val="0"/>
          <w:color w:val="5B6472"/>
          <w:sz w:val="17"/>
        </w:rPr>
        <w:t>LogiMarket  |  logimarket.eu  |  logimarket.pl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b w:val="0"/>
        <w:color w:val="5B6472"/>
        <w:sz w:val="15"/>
      </w:rPr>
      <w:t>List przewodni  •  materiał roboczy do formalnej weryfikacji</w:t>
    </w:r>
  </w:p>
  <w:p>
    <w:pPr>
      <w:jc w:val="right"/>
    </w:pPr>
    <w:r>
      <w:rPr>
        <w:rFonts w:ascii="Inter" w:hAnsi="Inter"/>
        <w:b w:val="0"/>
        <w:color w:val="5B6472"/>
        <w:sz w:val="16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141C2C"/>
        <w:sz w:val="16"/>
      </w:rPr>
      <w:t>LOGIMARKET.EU  |  LEGAL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Inter" w:hAnsi="Inter"/>
      <w:b/>
      <w:bCs/>
      <w:color w:val="141C2C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Inter" w:hAnsi="Inter"/>
      <w:b/>
      <w:bCs/>
      <w:color w:val="1474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41C2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41C2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