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Aptos Display" w:hAnsi="Aptos Display"/>
          <w:b/>
          <w:color w:val="141C2C"/>
          <w:sz w:val="60"/>
        </w:rPr>
        <w:t>LOGIMARKET</w:t>
      </w:r>
      <w:r>
        <w:rPr>
          <w:rFonts w:ascii="Aptos Display" w:hAnsi="Aptos Display"/>
          <w:b/>
          <w:color w:val="147487"/>
          <w:sz w:val="60"/>
        </w:rPr>
        <w:t>.EU</w:t>
      </w:r>
    </w:p>
    <w:p>
      <w:pPr>
        <w:spacing w:after="200"/>
      </w:pPr>
      <w:r>
        <w:rPr>
          <w:rFonts w:ascii="Aptos" w:hAnsi="Aptos"/>
          <w:b/>
          <w:color w:val="147487"/>
          <w:sz w:val="18"/>
        </w:rPr>
        <w:t>DOKUMENT 01</w:t>
      </w:r>
    </w:p>
    <w:p>
      <w:pPr>
        <w:pStyle w:val="Title"/>
      </w:pPr>
      <w:r>
        <w:t>LogiMarket Marketplace - Model biznesowy i założenia operacyjne</w:t>
      </w:r>
    </w:p>
    <w:p>
      <w:pPr>
        <w:spacing w:after="360"/>
      </w:pPr>
      <w:r>
        <w:rPr>
          <w:rFonts w:ascii="Aptos" w:hAnsi="Aptos"/>
          <w:color w:val="5B6472"/>
          <w:sz w:val="24"/>
        </w:rPr>
        <w:t>Intermediary-first B2B marketplace | Owner Business Fact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41C2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350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9"/>
              </w:rPr>
              <w:t>MATERIAŁ DO WERYFIKACJI PRAWNEJ</w:t>
            </w:r>
          </w:p>
        </w:tc>
      </w:tr>
      <w:tr>
        <w:tc>
          <w:tcPr>
            <w:tcW w:type="dxa" w:w="243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41C2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Projekt</w:t>
            </w:r>
          </w:p>
        </w:tc>
        <w:tc>
          <w:tcPr>
            <w:tcW w:type="dxa" w:w="6350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9"/>
              </w:rPr>
              <w:t>logimarket.eu / marketplace B2B</w:t>
            </w:r>
          </w:p>
        </w:tc>
      </w:tr>
      <w:tr>
        <w:tc>
          <w:tcPr>
            <w:tcW w:type="dxa" w:w="243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41C2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Baseline techniczny</w:t>
            </w:r>
          </w:p>
        </w:tc>
        <w:tc>
          <w:tcPr>
            <w:tcW w:type="dxa" w:w="6350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9"/>
              </w:rPr>
              <w:t>main @ cd1de62625f6a95bb0ed8e651ab40b3544e41a5d</w:t>
            </w:r>
          </w:p>
        </w:tc>
      </w:tr>
    </w:tbl>
    <w:p/>
    <w:p>
      <w:r>
        <w:rPr>
          <w:rFonts w:ascii="Aptos" w:hAnsi="Aptos"/>
          <w:b/>
          <w:color w:val="141C2C"/>
        </w:rPr>
        <w:t xml:space="preserve">Cel: </w:t>
      </w:r>
      <w:r>
        <w:rPr>
          <w:rFonts w:ascii="Aptos" w:hAnsi="Aptos"/>
          <w:color w:val="5B6472"/>
        </w:rPr>
        <w:t>przekazanie kancelarii i/lub DPO uporządkowanych faktów biznesowych, technicznych oraz pytań wymagających formalnej opinii. Dokument nie stanowi opinii prawnej.</w:t>
      </w:r>
    </w:p>
    <w:p>
      <w:r>
        <w:br w:type="page"/>
      </w:r>
    </w:p>
    <w:p>
      <w:pPr>
        <w:pStyle w:val="Heading1"/>
      </w:pPr>
      <w:r>
        <w:t>1. Cel dokumentu</w:t>
      </w:r>
    </w:p>
    <w:p>
      <w:r>
        <w:t>Dokument przedstawia wiążące decyzje biznesowe Ownera, które mają być punktem wyjścia do opinii prawnej i dalszej architektury marketplace. Nie jest regulaminem ani opinią prawną. Jeżeli kancelaria wskaże konflikt z prawem lub obowiązkami regulacyjnymi, wymagane jest formalne ponowne otwarcie odpowiedniej decyzji.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0F0"/>
            <w:tcBorders>
              <w:top w:val="single" w:sz="8" w:color="147487"/>
              <w:left w:val="single" w:sz="8" w:color="147487"/>
              <w:bottom w:val="single" w:sz="8" w:color="147487"/>
              <w:right w:val="single" w:sz="8" w:color="147487"/>
              <w:insideH w:val="single" w:sz="8" w:color="147487"/>
              <w:insideV w:val="single" w:sz="8" w:color="1474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41C2C"/>
                <w:sz w:val="20"/>
              </w:rPr>
              <w:t>Model bazowy MVP</w:t>
              <w:br/>
            </w:r>
            <w:r>
              <w:rPr>
                <w:rFonts w:ascii="Aptos" w:hAnsi="Aptos"/>
                <w:color w:val="141C2C"/>
                <w:sz w:val="19"/>
              </w:rPr>
              <w:t>LogiMarket działa jako pośrednik/platforma. Partner jest zamierzonym sprzedawcą kontraktowym w ścieżkach RFQ i e-commerce. Kanał, w którym LogiMarket staje się resellerem/sprzedawcą, pozostaje przyszłym, wyłączonym rozszerzeniem.</w:t>
            </w:r>
          </w:p>
        </w:tc>
      </w:tr>
    </w:tbl>
    <w:p/>
    <w:p>
      <w:pPr>
        <w:pStyle w:val="Heading1"/>
      </w:pPr>
      <w:r>
        <w:t>2. Zatwierdzone fakty biznesowe Ownera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Decyzja</w:t>
            </w:r>
          </w:p>
        </w:tc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Zatwierdzony kierunek biznesowy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Q1 - Kupujący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B2B_ONLY. Brak zamierzonej ścieżki B2C w MVP. Obecna aplikacja nie wdraża jeszcze pełnej kwalifikacji B2B; metoda weryfikacji ma zostać uzgodniona prawnie.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Q2 - Geografia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E-commerce MVP: Polska. RFQ MVP: Polska + Unia Europejska. RFQ transgraniczne nie oznacza automatycznie uruchomienia e-commerce transgranicznego.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Q3/Q4 - Checkout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Checkout ma reprezentować order intent / zamierzoną ofertę kupującego. Partner musi jawnie zaakceptować albo odrzucić zamówienie. Dokładną kwalifikację zdarzeń i moment zawarcia umowy ma potwierdzić kancelaria.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Q5 - Płatność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Docelowy flow biznesowy: checkout -&gt; preautoryzacja -&gt; akceptacja Partnera -&gt; capture. Brak self-custody i brak escrow prowadzonego przez LogiMarket. PSP nie został wybrany.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Q6 - RFQ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Wycena Partnera ma być biznesowo domyślnie niewiążąca i służyć rokowaniom B2B. Skutek prawny oraz wymagane zastrzeżenia pozostają do zatwierdzenia.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Q7 - Ranking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MVP: ranking/sortowanie ręczne i edytorskie; brak płatnego rankingu i automatycznego scoringu Partnerów.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Q8 - Publikacja i zawieszenie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MVP: decyzje manualne po stronie Admina. Brak automatycznej rejestracji vendorów i brak nieograniczonego self-publishingu.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Monetyzacja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Success Fee / prowizja transakcyjna od Partnera. W MVP raportowanie na podstawie danych z systemu, fakturowanie ręczne poza automatycznym modułem finansowym.</w:t>
            </w:r>
          </w:p>
        </w:tc>
      </w:tr>
    </w:tbl>
    <w:p/>
    <w:p>
      <w:pPr>
        <w:pStyle w:val="Heading1"/>
      </w:pPr>
      <w:r>
        <w:t>3. Trzy ścieżki konwersji w MVP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Ścieżka</w:t>
            </w:r>
          </w:p>
        </w:tc>
        <w:tc>
          <w:tcPr>
            <w:tcW w:type="dxa" w:w="2381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Rola Partnera</w:t>
            </w:r>
          </w:p>
        </w:tc>
        <w:tc>
          <w:tcPr>
            <w:tcW w:type="dxa" w:w="2835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Rola LogiMarket</w:t>
            </w:r>
          </w:p>
        </w:tc>
        <w:tc>
          <w:tcPr>
            <w:tcW w:type="dxa" w:w="2608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Rezultat</w:t>
            </w:r>
          </w:p>
        </w:tc>
      </w:tr>
      <w:tr>
        <w:tc>
          <w:tcPr>
            <w:tcW w:type="dxa" w:w="147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RFQ</w:t>
            </w:r>
          </w:p>
        </w:tc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Prospektywny sprzedawca / oferent</w:t>
            </w:r>
          </w:p>
        </w:tc>
        <w:tc>
          <w:tcPr>
            <w:tcW w:type="dxa" w:w="283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Platforma i routing RFQ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Zapytanie; bez koszyka i bez płatności marketplace w obecnym MVP</w:t>
            </w:r>
          </w:p>
        </w:tc>
      </w:tr>
      <w:tr>
        <w:tc>
          <w:tcPr>
            <w:tcW w:type="dxa" w:w="147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E-commerce</w:t>
            </w:r>
          </w:p>
        </w:tc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Sprzedawca kontraktowy</w:t>
            </w:r>
          </w:p>
        </w:tc>
        <w:tc>
          <w:tcPr>
            <w:tcW w:type="dxa" w:w="283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Koszyk, checkout i orkiestracja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Order intent; akceptacja Partnera wymagana w docelowym modelu</w:t>
            </w:r>
          </w:p>
        </w:tc>
      </w:tr>
      <w:tr>
        <w:tc>
          <w:tcPr>
            <w:tcW w:type="dxa" w:w="147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Outbound</w:t>
            </w:r>
          </w:p>
        </w:tc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Sprzedawca zewnętrzny</w:t>
            </w:r>
          </w:p>
        </w:tc>
        <w:tc>
          <w:tcPr>
            <w:tcW w:type="dxa" w:w="283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Referral + tracking /go/[id]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Transakcja poza LogiMarket</w:t>
            </w:r>
          </w:p>
        </w:tc>
      </w:tr>
    </w:tbl>
    <w:p/>
    <w:p>
      <w:pPr>
        <w:pStyle w:val="Heading1"/>
      </w:pPr>
      <w:r>
        <w:t>4. Odpowiedzialności - intencja biznesowa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Obszar</w:t>
            </w:r>
          </w:p>
        </w:tc>
        <w:tc>
          <w:tcPr>
            <w:tcW w:type="dxa" w:w="2494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Partner</w:t>
            </w:r>
          </w:p>
        </w:tc>
        <w:tc>
          <w:tcPr>
            <w:tcW w:type="dxa" w:w="2948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LogiMarket</w:t>
            </w:r>
          </w:p>
        </w:tc>
        <w:tc>
          <w:tcPr>
            <w:tcW w:type="dxa" w:w="2041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 prawny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Towar i specyfikacja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Treść oferty, parametry, zgodność produktu</w:t>
            </w:r>
          </w:p>
        </w:tc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Infrastruktura prezentacji i moderacja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potwierdzenia zakresu obowiązków platformy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Cena i dostępność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Odpowiedzialność operacyjna Partnera</w:t>
            </w:r>
          </w:p>
        </w:tc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Prezentacja i walidacje systemowe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weryfikacji prawnej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Akceptacja zamówienia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Jawna decyzja Partnera</w:t>
            </w:r>
          </w:p>
        </w:tc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Orkiestracja i statusy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Moment skutku prawnego do potwierdzenia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Dostawa i fulfillment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Partner</w:t>
            </w:r>
          </w:p>
        </w:tc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Monitoring / wsparcie platformowe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potwierdzenia obowiązków platformy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Reklamacje/zwroty towaru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Partner - kierunek biznesowy</w:t>
            </w:r>
          </w:p>
        </w:tc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Intake/wsparcie może być zapewniane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Podział odpowiedzialności wymaga walidacji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Faktura za towar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Partner - kierunek biznesowy</w:t>
            </w:r>
          </w:p>
        </w:tc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Brak faktury towarowej w modelu marketplace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walidacji podatkowo-prawnej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Prowizja platformy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Płatnik success fee</w:t>
            </w:r>
          </w:p>
        </w:tc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LogiMarket wystawia fakturę za usługę platformową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walidacji podatkowo-księgowej</w:t>
            </w:r>
          </w:p>
        </w:tc>
      </w:tr>
    </w:tbl>
    <w:p/>
    <w:p>
      <w:pPr>
        <w:pStyle w:val="Heading1"/>
      </w:pPr>
      <w:r>
        <w:t>5. Granice MVP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Brak globalnej roli LogiMarket jako sprzedawcy/resellera w MVP.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Brak automatycznej rejestracji Partnerów i brak niekontrolowanego self-publishingu.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Brak automatycznych kar, automatycznego scoringu Partnerów i paid ranking w MVP.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Brak self-custody środków i brak escrow prowadzonego przez LogiMarket.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E-commerce transgraniczne poza Polską nie jest objęte początkowym MVP.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Partner Portal jest przyszłym zakresem i nie może być traktowany jako obecnie wdrożony.</w:t>
      </w:r>
    </w:p>
    <w:p>
      <w:pPr>
        <w:pStyle w:val="Heading1"/>
      </w:pPr>
      <w:r>
        <w:t>6. Decyzje pozostawione kancelarii / doradcom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dokładna kwalifikacja roli LogiMarket jako platformy/pośrednika i wynikające z niej obowiązki;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moment zawarcia umowy w e-commerce oraz charakter prawny kolejnych zdarzeń checkoutu;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charakter prawny RFQ, odpowiedzi Partnera, wyceny i akceptacji;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zakres i moment ujawnienia danych sprzedawcy przed konwersją;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zastosowanie P2B oraz odrębna kwalifikacja usług pod DSA;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metodologia skutecznego ograniczenia modelu do B2B;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role RODO, obowiązki informacyjne, retencja i wymagane umowy/uzgodnienia;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model PSP/KYB/KYC, refundy/chargebacki oraz technika preautoryzacji/capture;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VAT, KSeF, rozpoznanie prowizji i fakturowanie usługi platformowej.</w:t>
      </w:r>
    </w:p>
    <w:p>
      <w:pPr>
        <w:pStyle w:val="Heading1"/>
      </w:pPr>
      <w:r>
        <w:t>Źródła i status materiału</w:t>
      </w:r>
    </w:p>
    <w:p>
      <w:r>
        <w:rPr>
          <w:rFonts w:ascii="Aptos" w:hAnsi="Aptos"/>
          <w:b/>
          <w:color w:val="141C2C"/>
        </w:rPr>
        <w:t xml:space="preserve">Źródła projektowe: </w:t>
      </w:r>
      <w:r>
        <w:rPr>
          <w:rFonts w:ascii="Aptos" w:hAnsi="Aptos"/>
          <w:color w:val="141C2C"/>
        </w:rPr>
        <w:t>aktualny branch main repozytorium oraz zatwierdzone decyzje Ownera z pakietów 56C1/56C2. Poniższe pliki służą jako traceability, nie jako treść do bezpośredniego wdrożenia przez kancelarię.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docs/domain/lm-marketplace-domain-56a-r3-intermediary-contract.md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docs/domain/lm-marketplace-data-model-56b0-logical-model.md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docs/domain/lm-marketplace-validation-56c0-evidence-request-pack.md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docs/domain/lm-marketplace-validation-56c0-gate-register.md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Owner Business Fact Record Q1-Q8 - zatwierdzony w Workstream 56C1/56C2</w:t>
      </w:r>
    </w:p>
    <w:p>
      <w:r>
        <w:rPr>
          <w:rFonts w:ascii="Aptos" w:hAnsi="Aptos"/>
          <w:b/>
          <w:color w:val="141C2C"/>
        </w:rPr>
        <w:t xml:space="preserve">Akty / materiały prawne do weryfikacji przez kancelarię: 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Kodeks cywilny - aktualny tekst jednolity (Dz.U. 2026 poz. 795), w szczególności regulacja ofert i zawierania umów.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Rozporządzenie (UE) 2019/1150 (P2B) - do weryfikacji zastosowania do faktycznego modelu LogiMarket.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Rozporządzenie (UE) 2022/2065 (DSA) - do klasyfikacji rodzaju usługi i obowiązków.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Rozporządzenie (UE) 2016/679 (RODO/GDPR) - role, obowiązki informacyjne, retencja i umowy.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EDPB Guidelines 07/2020 - pojęcia administratora i podmiotu przetwarzającego.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6"/>
            <w:tcBorders>
              <w:top w:val="single" w:sz="8" w:color="147487"/>
              <w:left w:val="single" w:sz="8" w:color="147487"/>
              <w:bottom w:val="single" w:sz="8" w:color="147487"/>
              <w:right w:val="single" w:sz="8" w:color="147487"/>
              <w:insideH w:val="single" w:sz="8" w:color="147487"/>
              <w:insideV w:val="single" w:sz="8" w:color="1474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41C2C"/>
                <w:sz w:val="20"/>
              </w:rPr>
              <w:t>Zastrzeżenie</w:t>
              <w:br/>
            </w:r>
            <w:r>
              <w:rPr>
                <w:rFonts w:ascii="Aptos" w:hAnsi="Aptos"/>
                <w:color w:val="141C2C"/>
                <w:sz w:val="19"/>
              </w:rPr>
              <w:t>Dokument porządkuje założenia i pytania. Nie przesądza kwalifikacji prawnej, podatkowej, płatniczej ani RODO. Kancelaria/DPO powinni wskazać podstawę prawną, zakres stosowania, wyjątki i wymagane korekty.</w:t>
            </w:r>
          </w:p>
        </w:tc>
      </w:tr>
    </w:tbl>
    <w:p/>
    <w:p>
      <w:pPr>
        <w:pStyle w:val="LMSmall"/>
      </w:pPr>
      <w:r>
        <w:t>Wersja: Counsel Pack v1.0 | Data przygotowania: 2026-08-09 | Status: do weryfikacji przez kancelarię / DPO.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5B6472"/>
        <w:sz w:val="16"/>
      </w:rPr>
      <w:t>01 Model biznesowy  •  Confidential / roboczy materiał do weryfikacji</w:t>
    </w:r>
  </w:p>
  <w:p>
    <w:pPr>
      <w:jc w:val="right"/>
    </w:pPr>
    <w:r>
      <w:rPr>
        <w:rFonts w:ascii="Aptos" w:hAnsi="Aptos"/>
        <w:color w:val="5B6472"/>
        <w:sz w:val="16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1C2C"/>
        <w:sz w:val="16"/>
      </w:rPr>
      <w:t>LOGIMARKET.EU  |  LEGAL COUNSEL REVIEW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1C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474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41C2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1C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MSmall">
    <w:name w:val="LM Small"/>
    <w:rPr>
      <w:rFonts w:ascii="Aptos" w:hAnsi="Aptos"/>
      <w:color w:val="5B647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